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562" w:firstLineChars="200"/>
        <w:rPr>
          <w:rFonts w:ascii="黑体" w:hAnsi="黑体" w:eastAsia="黑体"/>
          <w:b/>
          <w:sz w:val="28"/>
          <w:szCs w:val="24"/>
          <w:lang w:eastAsia="zh-CN"/>
        </w:rPr>
      </w:pPr>
      <w:r>
        <w:rPr>
          <w:rFonts w:ascii="黑体" w:hAnsi="黑体" w:eastAsia="黑体"/>
          <w:b/>
          <w:sz w:val="28"/>
          <w:szCs w:val="24"/>
          <w:lang w:eastAsia="zh-CN"/>
        </w:rPr>
        <w:t>合同号</w:t>
      </w:r>
      <w:r>
        <w:rPr>
          <w:rFonts w:hint="eastAsia" w:ascii="黑体" w:hAnsi="黑体" w:eastAsia="黑体"/>
          <w:b/>
          <w:sz w:val="28"/>
          <w:szCs w:val="24"/>
          <w:lang w:eastAsia="zh-CN"/>
        </w:rPr>
        <w:t xml:space="preserve">：     </w:t>
      </w:r>
    </w:p>
    <w:p>
      <w:pPr>
        <w:spacing w:after="0" w:line="360" w:lineRule="auto"/>
        <w:ind w:firstLine="562" w:firstLineChars="200"/>
        <w:rPr>
          <w:rFonts w:ascii="黑体" w:hAnsi="黑体" w:eastAsia="黑体"/>
          <w:b/>
          <w:sz w:val="28"/>
          <w:szCs w:val="24"/>
          <w:lang w:eastAsia="zh-CN"/>
        </w:rPr>
      </w:pP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深圳市</w:t>
      </w:r>
      <w:r>
        <w:rPr>
          <w:rFonts w:ascii="仿宋" w:hAnsi="仿宋" w:eastAsia="仿宋"/>
          <w:b/>
          <w:sz w:val="52"/>
          <w:szCs w:val="52"/>
          <w:lang w:eastAsia="zh-CN"/>
        </w:rPr>
        <w:t>深汕特别合作区</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水库、河道管养劳务外包项目</w:t>
      </w:r>
    </w:p>
    <w:p>
      <w:pPr>
        <w:spacing w:line="560" w:lineRule="exact"/>
        <w:jc w:val="center"/>
        <w:rPr>
          <w:rFonts w:ascii="仿宋" w:hAnsi="仿宋" w:eastAsia="仿宋" w:cs="宋体"/>
          <w:b/>
          <w:sz w:val="52"/>
          <w:szCs w:val="52"/>
          <w:lang w:eastAsia="zh-CN"/>
        </w:rPr>
      </w:pPr>
      <w:r>
        <w:rPr>
          <w:rFonts w:hint="eastAsia" w:ascii="仿宋" w:hAnsi="仿宋" w:eastAsia="仿宋" w:cs="宋体"/>
          <w:b/>
          <w:sz w:val="52"/>
          <w:szCs w:val="52"/>
          <w:lang w:eastAsia="zh-CN"/>
        </w:rPr>
        <w:t>合同</w:t>
      </w:r>
      <w:r>
        <w:rPr>
          <w:rFonts w:hint="eastAsia" w:ascii="仿宋" w:hAnsi="仿宋" w:eastAsia="仿宋"/>
          <w:b/>
          <w:sz w:val="52"/>
          <w:szCs w:val="52"/>
          <w:lang w:eastAsia="zh-CN"/>
        </w:rPr>
        <w:t>（2022至2023年度）</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（二标段）</w:t>
      </w:r>
    </w:p>
    <w:p>
      <w:pPr>
        <w:ind w:left="620"/>
        <w:rPr>
          <w:rFonts w:ascii="楷体" w:hAnsi="楷体" w:eastAsia="楷体"/>
          <w:b/>
          <w:w w:val="95"/>
          <w:sz w:val="32"/>
          <w:szCs w:val="32"/>
          <w:lang w:eastAsia="zh-CN"/>
        </w:rPr>
      </w:pPr>
    </w:p>
    <w:p>
      <w:pPr>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1953" w:leftChars="281" w:hanging="1335" w:hangingChars="50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2015" w:leftChars="916"/>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项目（2022至2023年度）（二标段）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rPr>
          <w:rFonts w:ascii="楷体" w:hAnsi="楷体" w:eastAsia="楷体"/>
          <w:b/>
          <w:sz w:val="28"/>
          <w:szCs w:val="32"/>
          <w:lang w:eastAsia="zh-CN"/>
        </w:rPr>
        <w:sectPr>
          <w:type w:val="continuous"/>
          <w:pgSz w:w="11910" w:h="16840"/>
          <w:pgMar w:top="1440" w:right="1800" w:bottom="1440" w:left="1800" w:header="720" w:footer="720" w:gutter="0"/>
          <w:cols w:space="720" w:num="1"/>
          <w:docGrid w:linePitch="299" w:charSpace="0"/>
        </w:sectPr>
      </w:pPr>
    </w:p>
    <w:p>
      <w:pPr>
        <w:tabs>
          <w:tab w:val="left" w:pos="3856"/>
          <w:tab w:val="left" w:pos="7213"/>
        </w:tabs>
        <w:spacing w:before="62"/>
        <w:rPr>
          <w:rFonts w:ascii="黑体" w:hAnsi="黑体" w:eastAsia="黑体"/>
          <w:b/>
          <w:sz w:val="28"/>
          <w:szCs w:val="30"/>
          <w:u w:val="single"/>
          <w:lang w:eastAsia="zh-CN"/>
        </w:rPr>
      </w:pPr>
      <w:r>
        <w:rPr>
          <w:rFonts w:ascii="黑体" w:hAnsi="黑体" w:eastAsia="黑体"/>
          <w:b/>
          <w:sz w:val="28"/>
          <w:szCs w:val="30"/>
          <w:u w:val="single"/>
          <w:lang w:eastAsia="zh-CN"/>
        </w:rPr>
        <w:t>发包人（甲方</w:t>
      </w:r>
      <w:r>
        <w:rPr>
          <w:rFonts w:hint="eastAsia" w:ascii="黑体" w:hAnsi="黑体" w:eastAsia="黑体"/>
          <w:b/>
          <w:sz w:val="28"/>
          <w:szCs w:val="30"/>
          <w:u w:val="single"/>
          <w:lang w:eastAsia="zh-CN"/>
        </w:rPr>
        <w:t>）</w:t>
      </w:r>
      <w:r>
        <w:rPr>
          <w:rFonts w:ascii="黑体" w:hAnsi="黑体" w:eastAsia="黑体"/>
          <w:b/>
          <w:sz w:val="28"/>
          <w:szCs w:val="30"/>
          <w:u w:val="single"/>
          <w:lang w:eastAsia="zh-CN"/>
        </w:rPr>
        <w:t>：</w:t>
      </w:r>
      <w:r>
        <w:rPr>
          <w:rFonts w:hint="eastAsia" w:ascii="黑体" w:hAnsi="黑体" w:eastAsia="黑体"/>
          <w:b/>
          <w:sz w:val="28"/>
          <w:szCs w:val="30"/>
          <w:u w:val="single"/>
          <w:lang w:eastAsia="zh-CN"/>
        </w:rPr>
        <w:t>深圳市深汕特别合作区深水水务有限公司</w:t>
      </w:r>
    </w:p>
    <w:p>
      <w:pPr>
        <w:tabs>
          <w:tab w:val="left" w:pos="1990"/>
          <w:tab w:val="left" w:pos="2411"/>
          <w:tab w:val="left" w:pos="5399"/>
        </w:tabs>
        <w:spacing w:after="0" w:line="360" w:lineRule="auto"/>
        <w:rPr>
          <w:rFonts w:ascii="黑体" w:hAnsi="黑体" w:eastAsia="黑体"/>
          <w:b/>
          <w:sz w:val="28"/>
          <w:szCs w:val="30"/>
          <w:u w:val="single"/>
          <w:lang w:eastAsia="zh-CN"/>
        </w:rPr>
      </w:pPr>
      <w:r>
        <w:rPr>
          <w:rFonts w:ascii="黑体" w:hAnsi="黑体" w:eastAsia="黑体"/>
          <w:b/>
          <w:w w:val="95"/>
          <w:sz w:val="28"/>
          <w:szCs w:val="30"/>
          <w:u w:val="single"/>
          <w:lang w:eastAsia="zh-CN"/>
        </w:rPr>
        <w:t>承包人（乙方）：</w:t>
      </w:r>
      <w:r>
        <w:rPr>
          <w:rFonts w:hint="eastAsia" w:ascii="黑体" w:hAnsi="黑体" w:eastAsia="黑体"/>
          <w:b/>
          <w:sz w:val="28"/>
          <w:szCs w:val="30"/>
          <w:u w:val="single"/>
          <w:lang w:eastAsia="zh-CN"/>
        </w:rPr>
        <w:t xml:space="preserve">                                     </w:t>
      </w:r>
    </w:p>
    <w:p>
      <w:pPr>
        <w:tabs>
          <w:tab w:val="left" w:pos="1990"/>
          <w:tab w:val="left" w:pos="2411"/>
          <w:tab w:val="left" w:pos="5399"/>
        </w:tabs>
        <w:spacing w:after="0" w:line="360" w:lineRule="auto"/>
        <w:rPr>
          <w:rFonts w:ascii="黑体" w:hAnsi="黑体" w:eastAsia="黑体"/>
          <w:b/>
          <w:sz w:val="28"/>
          <w:szCs w:val="30"/>
          <w:u w:val="single"/>
          <w:lang w:eastAsia="zh-CN"/>
        </w:rPr>
      </w:pPr>
    </w:p>
    <w:p>
      <w:pPr>
        <w:tabs>
          <w:tab w:val="left" w:pos="1990"/>
          <w:tab w:val="left" w:pos="2411"/>
          <w:tab w:val="left" w:pos="5399"/>
        </w:tabs>
        <w:spacing w:after="0" w:line="360" w:lineRule="auto"/>
        <w:ind w:firstLine="480" w:firstLineChars="200"/>
        <w:jc w:val="both"/>
        <w:rPr>
          <w:rFonts w:ascii="仿宋" w:hAnsi="仿宋" w:eastAsia="仿宋"/>
          <w:sz w:val="24"/>
          <w:szCs w:val="28"/>
          <w:lang w:eastAsia="zh-CN"/>
        </w:rPr>
      </w:pPr>
      <w:r>
        <w:rPr>
          <w:rFonts w:ascii="仿宋" w:hAnsi="仿宋" w:eastAsia="仿宋"/>
          <w:sz w:val="24"/>
          <w:szCs w:val="28"/>
          <w:lang w:eastAsia="zh-CN"/>
        </w:rPr>
        <w:t>按</w:t>
      </w:r>
      <w:r>
        <w:rPr>
          <w:rFonts w:ascii="仿宋" w:hAnsi="仿宋" w:eastAsia="仿宋"/>
          <w:spacing w:val="-20"/>
          <w:sz w:val="24"/>
          <w:szCs w:val="28"/>
          <w:lang w:eastAsia="zh-CN"/>
        </w:rPr>
        <w:t>照</w:t>
      </w:r>
      <w:r>
        <w:rPr>
          <w:rFonts w:ascii="仿宋" w:hAnsi="仿宋" w:eastAsia="仿宋"/>
          <w:sz w:val="24"/>
          <w:szCs w:val="28"/>
          <w:lang w:eastAsia="zh-CN"/>
        </w:rPr>
        <w:t>《中华人民共和国</w:t>
      </w:r>
      <w:r>
        <w:rPr>
          <w:rFonts w:hint="eastAsia" w:ascii="仿宋" w:hAnsi="仿宋" w:eastAsia="仿宋"/>
          <w:sz w:val="24"/>
          <w:szCs w:val="28"/>
          <w:lang w:eastAsia="zh-CN"/>
        </w:rPr>
        <w:t>民法典</w:t>
      </w:r>
      <w:r>
        <w:rPr>
          <w:rFonts w:ascii="仿宋" w:hAnsi="仿宋" w:eastAsia="仿宋"/>
          <w:sz w:val="24"/>
          <w:szCs w:val="28"/>
          <w:lang w:eastAsia="zh-CN"/>
        </w:rPr>
        <w:t>》</w:t>
      </w:r>
      <w:r>
        <w:rPr>
          <w:rFonts w:hint="eastAsia" w:ascii="仿宋" w:hAnsi="仿宋" w:eastAsia="仿宋"/>
          <w:sz w:val="24"/>
          <w:szCs w:val="28"/>
          <w:lang w:eastAsia="zh-CN"/>
        </w:rPr>
        <w:t>及</w:t>
      </w:r>
      <w:r>
        <w:rPr>
          <w:rFonts w:ascii="仿宋" w:hAnsi="仿宋" w:eastAsia="仿宋"/>
          <w:sz w:val="24"/>
          <w:szCs w:val="28"/>
          <w:lang w:eastAsia="zh-CN"/>
        </w:rPr>
        <w:t>其他有关法律法规，遵循平等</w:t>
      </w:r>
      <w:r>
        <w:rPr>
          <w:rFonts w:hint="eastAsia" w:ascii="仿宋" w:hAnsi="仿宋" w:eastAsia="仿宋"/>
          <w:sz w:val="24"/>
          <w:szCs w:val="28"/>
          <w:lang w:eastAsia="zh-CN"/>
        </w:rPr>
        <w:t>、</w:t>
      </w:r>
      <w:r>
        <w:rPr>
          <w:rFonts w:ascii="仿宋" w:hAnsi="仿宋" w:eastAsia="仿宋"/>
          <w:sz w:val="24"/>
          <w:szCs w:val="28"/>
          <w:lang w:eastAsia="zh-CN"/>
        </w:rPr>
        <w:t>自愿</w:t>
      </w:r>
      <w:r>
        <w:rPr>
          <w:rFonts w:hint="eastAsia" w:ascii="仿宋" w:hAnsi="仿宋" w:eastAsia="仿宋"/>
          <w:sz w:val="24"/>
          <w:szCs w:val="28"/>
          <w:lang w:eastAsia="zh-CN"/>
        </w:rPr>
        <w:t>、</w:t>
      </w:r>
      <w:r>
        <w:rPr>
          <w:rFonts w:ascii="仿宋" w:hAnsi="仿宋" w:eastAsia="仿宋"/>
          <w:sz w:val="24"/>
          <w:szCs w:val="28"/>
          <w:lang w:eastAsia="zh-CN"/>
        </w:rPr>
        <w:t>公平和诚实信用的原则，为保证</w:t>
      </w:r>
      <w:r>
        <w:rPr>
          <w:rFonts w:hint="eastAsia" w:ascii="仿宋" w:hAnsi="仿宋" w:eastAsia="仿宋"/>
          <w:sz w:val="24"/>
          <w:szCs w:val="28"/>
          <w:lang w:eastAsia="zh-CN"/>
        </w:rPr>
        <w:t>深圳市深汕特别合作区（以下简称合作区）鹅埠片区2座小型水库和8条主要河流有序运营维护，</w:t>
      </w:r>
      <w:r>
        <w:rPr>
          <w:rFonts w:ascii="仿宋" w:hAnsi="仿宋" w:eastAsia="仿宋"/>
          <w:sz w:val="24"/>
          <w:szCs w:val="28"/>
          <w:lang w:eastAsia="zh-CN"/>
        </w:rPr>
        <w:t>经</w:t>
      </w:r>
      <w:r>
        <w:rPr>
          <w:rFonts w:hint="eastAsia" w:ascii="仿宋" w:hAnsi="仿宋" w:eastAsia="仿宋"/>
          <w:b/>
          <w:sz w:val="24"/>
          <w:szCs w:val="28"/>
          <w:u w:val="single"/>
          <w:lang w:eastAsia="zh-CN"/>
        </w:rPr>
        <w:t>深圳市深汕特别合作区深水水务有限公司</w:t>
      </w:r>
      <w:r>
        <w:rPr>
          <w:rFonts w:ascii="仿宋" w:hAnsi="仿宋" w:eastAsia="仿宋"/>
          <w:b/>
          <w:sz w:val="24"/>
          <w:szCs w:val="28"/>
          <w:u w:val="single"/>
          <w:lang w:eastAsia="zh-CN"/>
        </w:rPr>
        <w:t>（以下简称甲方</w:t>
      </w:r>
      <w:r>
        <w:rPr>
          <w:rFonts w:ascii="仿宋" w:hAnsi="仿宋" w:eastAsia="仿宋"/>
          <w:b/>
          <w:spacing w:val="3"/>
          <w:sz w:val="24"/>
          <w:szCs w:val="28"/>
          <w:u w:val="single"/>
          <w:lang w:eastAsia="zh-CN"/>
        </w:rPr>
        <w:t>）</w:t>
      </w:r>
      <w:r>
        <w:rPr>
          <w:rFonts w:ascii="仿宋" w:hAnsi="仿宋" w:eastAsia="仿宋"/>
          <w:sz w:val="24"/>
          <w:szCs w:val="28"/>
          <w:lang w:eastAsia="zh-CN"/>
        </w:rPr>
        <w:t>公开招标</w:t>
      </w:r>
      <w:r>
        <w:rPr>
          <w:rFonts w:hint="eastAsia" w:ascii="仿宋" w:hAnsi="仿宋" w:eastAsia="仿宋"/>
          <w:sz w:val="24"/>
          <w:szCs w:val="28"/>
          <w:lang w:eastAsia="zh-CN"/>
        </w:rPr>
        <w:t>，</w:t>
      </w:r>
      <w:r>
        <w:rPr>
          <w:rFonts w:ascii="仿宋" w:hAnsi="仿宋" w:eastAsia="仿宋"/>
          <w:sz w:val="24"/>
          <w:szCs w:val="28"/>
          <w:lang w:eastAsia="zh-CN"/>
        </w:rPr>
        <w:t>现与中标单位</w:t>
      </w:r>
      <w:r>
        <w:rPr>
          <w:rFonts w:hint="eastAsia" w:ascii="仿宋" w:hAnsi="仿宋" w:eastAsia="仿宋"/>
          <w:sz w:val="24"/>
          <w:szCs w:val="28"/>
          <w:lang w:eastAsia="zh-CN"/>
        </w:rPr>
        <w:t>XX公司</w:t>
      </w:r>
      <w:r>
        <w:rPr>
          <w:rFonts w:ascii="仿宋" w:hAnsi="仿宋" w:eastAsia="仿宋"/>
          <w:b/>
          <w:sz w:val="24"/>
          <w:szCs w:val="28"/>
          <w:u w:val="single"/>
          <w:lang w:eastAsia="zh-CN"/>
        </w:rPr>
        <w:t>（以下简称乙方</w:t>
      </w:r>
      <w:r>
        <w:rPr>
          <w:rFonts w:ascii="仿宋" w:hAnsi="仿宋" w:eastAsia="仿宋"/>
          <w:b/>
          <w:spacing w:val="3"/>
          <w:sz w:val="24"/>
          <w:szCs w:val="28"/>
          <w:u w:val="single"/>
          <w:lang w:eastAsia="zh-CN"/>
        </w:rPr>
        <w:t>）</w:t>
      </w:r>
      <w:r>
        <w:rPr>
          <w:rFonts w:ascii="仿宋" w:hAnsi="仿宋" w:eastAsia="仿宋"/>
          <w:sz w:val="24"/>
          <w:szCs w:val="28"/>
          <w:lang w:eastAsia="zh-CN"/>
        </w:rPr>
        <w:t>就</w:t>
      </w:r>
      <w:r>
        <w:rPr>
          <w:rFonts w:hint="eastAsia" w:ascii="仿宋" w:hAnsi="仿宋" w:eastAsia="仿宋"/>
          <w:b/>
          <w:sz w:val="24"/>
          <w:szCs w:val="28"/>
          <w:u w:val="single"/>
          <w:lang w:eastAsia="zh-CN"/>
        </w:rPr>
        <w:t>深圳市深汕特别合作区水库、河道管养劳务外包</w:t>
      </w:r>
      <w:r>
        <w:rPr>
          <w:rFonts w:ascii="仿宋" w:hAnsi="仿宋" w:eastAsia="仿宋"/>
          <w:b/>
          <w:sz w:val="24"/>
          <w:szCs w:val="28"/>
          <w:u w:val="single"/>
          <w:lang w:eastAsia="zh-CN"/>
        </w:rPr>
        <w:t>项目</w:t>
      </w:r>
      <w:r>
        <w:rPr>
          <w:rFonts w:hint="eastAsia" w:ascii="仿宋" w:hAnsi="仿宋" w:eastAsia="仿宋"/>
          <w:b/>
          <w:sz w:val="24"/>
          <w:szCs w:val="28"/>
          <w:u w:val="single"/>
          <w:lang w:eastAsia="zh-CN"/>
        </w:rPr>
        <w:t>（2022至2023年度）（二标段）</w:t>
      </w:r>
      <w:r>
        <w:rPr>
          <w:rFonts w:hint="eastAsia" w:ascii="仿宋" w:hAnsi="仿宋" w:eastAsia="仿宋"/>
          <w:sz w:val="24"/>
          <w:szCs w:val="28"/>
          <w:lang w:eastAsia="zh-CN"/>
        </w:rPr>
        <w:t>，</w:t>
      </w:r>
      <w:r>
        <w:rPr>
          <w:rFonts w:ascii="仿宋" w:hAnsi="仿宋" w:eastAsia="仿宋"/>
          <w:sz w:val="24"/>
          <w:szCs w:val="28"/>
          <w:lang w:eastAsia="zh-CN"/>
        </w:rPr>
        <w:t>按深圳市相关规定签订本合同</w:t>
      </w:r>
      <w:r>
        <w:rPr>
          <w:rFonts w:hint="eastAsia" w:ascii="仿宋" w:hAnsi="仿宋" w:eastAsia="仿宋"/>
          <w:sz w:val="24"/>
          <w:szCs w:val="28"/>
          <w:lang w:eastAsia="zh-CN"/>
        </w:rPr>
        <w:t>，</w:t>
      </w:r>
      <w:r>
        <w:rPr>
          <w:rFonts w:ascii="仿宋" w:hAnsi="仿宋" w:eastAsia="仿宋"/>
          <w:sz w:val="24"/>
          <w:szCs w:val="28"/>
          <w:lang w:eastAsia="zh-CN"/>
        </w:rPr>
        <w:t>合同条款</w:t>
      </w:r>
      <w:r>
        <w:rPr>
          <w:rFonts w:hint="eastAsia" w:ascii="仿宋" w:hAnsi="仿宋" w:eastAsia="仿宋"/>
          <w:sz w:val="24"/>
          <w:szCs w:val="28"/>
          <w:lang w:eastAsia="zh-CN"/>
        </w:rPr>
        <w:t>如下</w:t>
      </w:r>
      <w:r>
        <w:rPr>
          <w:rFonts w:ascii="仿宋" w:hAnsi="仿宋" w:eastAsia="仿宋"/>
          <w:sz w:val="24"/>
          <w:szCs w:val="28"/>
          <w:lang w:eastAsia="zh-CN"/>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第一条</w:t>
      </w:r>
      <w:r>
        <w:rPr>
          <w:rFonts w:hint="eastAsia" w:ascii="黑体" w:hAnsi="黑体" w:eastAsia="黑体"/>
          <w:b/>
          <w:sz w:val="28"/>
          <w:lang w:eastAsia="zh-CN"/>
        </w:rPr>
        <w:t xml:space="preserve"> </w:t>
      </w:r>
      <w:r>
        <w:rPr>
          <w:rFonts w:ascii="黑体" w:hAnsi="黑体" w:eastAsia="黑体"/>
          <w:b/>
          <w:sz w:val="28"/>
          <w:lang w:eastAsia="zh-CN"/>
        </w:rPr>
        <w:t>项目概况</w:t>
      </w:r>
    </w:p>
    <w:p>
      <w:pPr>
        <w:jc w:val="both"/>
        <w:outlineLvl w:val="1"/>
        <w:rPr>
          <w:rFonts w:ascii="宋体" w:hAnsi="宋体"/>
          <w:b/>
          <w:sz w:val="24"/>
          <w:szCs w:val="24"/>
          <w:lang w:eastAsia="zh-CN"/>
        </w:rPr>
      </w:pPr>
      <w:r>
        <w:rPr>
          <w:rFonts w:ascii="宋体" w:hAnsi="宋体"/>
          <w:b/>
          <w:sz w:val="24"/>
          <w:szCs w:val="24"/>
          <w:lang w:eastAsia="zh-CN"/>
        </w:rPr>
        <w:t>1、服务概况</w:t>
      </w:r>
    </w:p>
    <w:p>
      <w:pPr>
        <w:pStyle w:val="2"/>
        <w:spacing w:after="0" w:line="360" w:lineRule="auto"/>
        <w:ind w:left="0" w:firstLine="480" w:firstLineChars="200"/>
        <w:jc w:val="both"/>
      </w:pPr>
      <w:r>
        <w:rPr>
          <w:rFonts w:hint="eastAsia"/>
        </w:rPr>
        <w:t>项目运营维护范围包括深圳市深汕特别合作区</w:t>
      </w:r>
      <w:r>
        <w:rPr>
          <w:rFonts w:hint="eastAsia"/>
          <w:lang w:val="en-US"/>
        </w:rPr>
        <w:t>鹅埠镇</w:t>
      </w:r>
      <w:r>
        <w:rPr>
          <w:rFonts w:hint="eastAsia"/>
        </w:rPr>
        <w:t>内</w:t>
      </w:r>
      <w:r>
        <w:rPr>
          <w:rFonts w:hint="eastAsia"/>
          <w:lang w:val="en-US"/>
        </w:rPr>
        <w:t>2</w:t>
      </w:r>
      <w:r>
        <w:rPr>
          <w:rFonts w:hint="eastAsia"/>
        </w:rPr>
        <w:t>座水库及</w:t>
      </w:r>
      <w:r>
        <w:rPr>
          <w:rFonts w:hint="eastAsia"/>
          <w:lang w:val="en-US"/>
        </w:rPr>
        <w:t>8</w:t>
      </w:r>
      <w:r>
        <w:rPr>
          <w:rFonts w:hint="eastAsia"/>
        </w:rPr>
        <w:t>条主要河道，具体服务包括：</w:t>
      </w:r>
    </w:p>
    <w:p>
      <w:pPr>
        <w:pStyle w:val="2"/>
        <w:spacing w:after="0" w:line="360" w:lineRule="auto"/>
        <w:ind w:left="0" w:firstLine="480" w:firstLineChars="200"/>
        <w:jc w:val="both"/>
      </w:pPr>
      <w:r>
        <w:rPr>
          <w:rFonts w:hint="eastAsia"/>
        </w:rPr>
        <w:t>通过“水务大管家”模式，配合甲方进行管理养护，加强小型水库及河道管理，保障小型水库及河道工程安全运行，发挥小型水库及河道效益，适应小型水库及河道管理的新要求。结合合作区小型水库及河道现状，配合甲方全面梳理水库、河道现状，切实排查水库、河道隐患，勘察水库、河道水文地质条件，从而规范水库、河道运行维护，增强管理力量，建立巡视检查、防汛抢险、调度运用、岗位职责、技术档案等标准化制度。</w:t>
      </w:r>
    </w:p>
    <w:p>
      <w:pPr>
        <w:pStyle w:val="2"/>
        <w:spacing w:after="0" w:line="360" w:lineRule="auto"/>
        <w:ind w:left="0" w:firstLine="480" w:firstLineChars="200"/>
        <w:jc w:val="both"/>
      </w:pPr>
      <w:r>
        <w:rPr>
          <w:rFonts w:hint="eastAsia"/>
        </w:rPr>
        <w:t>管养内容主要包括水库和河道的巡查、保洁（含水域、陆域）、绿化保养、附属设施基础保养、</w:t>
      </w:r>
      <w:r>
        <w:rPr>
          <w:rFonts w:hint="eastAsia"/>
          <w:lang w:val="en-US"/>
        </w:rPr>
        <w:t>损毁修复</w:t>
      </w:r>
      <w:r>
        <w:rPr>
          <w:rFonts w:hint="eastAsia"/>
        </w:rPr>
        <w:t>等。</w:t>
      </w:r>
    </w:p>
    <w:p>
      <w:pPr>
        <w:pStyle w:val="2"/>
        <w:spacing w:after="0" w:line="360" w:lineRule="auto"/>
        <w:ind w:left="0" w:firstLine="480" w:firstLineChars="200"/>
        <w:jc w:val="both"/>
      </w:pPr>
    </w:p>
    <w:p>
      <w:pPr>
        <w:jc w:val="both"/>
        <w:outlineLvl w:val="1"/>
        <w:rPr>
          <w:rFonts w:ascii="宋体" w:hAnsi="宋体"/>
          <w:b/>
          <w:sz w:val="24"/>
          <w:lang w:eastAsia="zh-CN"/>
        </w:rPr>
      </w:pPr>
      <w:r>
        <w:rPr>
          <w:rFonts w:ascii="宋体" w:hAnsi="宋体"/>
          <w:b/>
          <w:sz w:val="24"/>
          <w:lang w:eastAsia="zh-CN"/>
        </w:rPr>
        <w:t>2、项目目的及</w:t>
      </w:r>
      <w:r>
        <w:rPr>
          <w:rFonts w:hint="eastAsia" w:ascii="宋体" w:hAnsi="宋体"/>
          <w:b/>
          <w:sz w:val="24"/>
          <w:lang w:eastAsia="zh-CN"/>
        </w:rPr>
        <w:t>管理</w:t>
      </w:r>
      <w:r>
        <w:rPr>
          <w:rFonts w:ascii="宋体" w:hAnsi="宋体"/>
          <w:b/>
          <w:sz w:val="24"/>
          <w:lang w:eastAsia="zh-CN"/>
        </w:rPr>
        <w:t>目标</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（1）</w:t>
      </w:r>
      <w:r>
        <w:rPr>
          <w:rFonts w:hint="eastAsia" w:ascii="宋体" w:hAnsi="宋体" w:cs="宋体"/>
          <w:spacing w:val="-6"/>
          <w:sz w:val="24"/>
          <w:szCs w:val="24"/>
          <w:lang w:eastAsia="zh-CN" w:bidi="zh-CN"/>
        </w:rPr>
        <w:t>通过对水库、河道等项目的管养，结合合作区给排水实际运营状况，打造深圳市范围内首家“水务大管家”先行示范样板，为深圳市乃至全国治水提质积累经验；</w:t>
      </w:r>
    </w:p>
    <w:p>
      <w:pPr>
        <w:tabs>
          <w:tab w:val="left" w:pos="1320"/>
        </w:tabs>
        <w:spacing w:after="0" w:line="360" w:lineRule="auto"/>
        <w:ind w:firstLine="456" w:firstLineChars="200"/>
        <w:jc w:val="both"/>
        <w:rPr>
          <w:rFonts w:ascii="宋体" w:hAnsi="宋体" w:cs="宋体"/>
          <w:spacing w:val="-6"/>
          <w:sz w:val="24"/>
          <w:szCs w:val="24"/>
          <w:lang w:val="zh-CN"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2</w:t>
      </w:r>
      <w:r>
        <w:rPr>
          <w:rFonts w:hint="eastAsia" w:ascii="宋体" w:hAnsi="宋体" w:cs="宋体"/>
          <w:spacing w:val="-6"/>
          <w:sz w:val="24"/>
          <w:szCs w:val="24"/>
          <w:lang w:val="zh-CN" w:eastAsia="zh-CN" w:bidi="zh-CN"/>
        </w:rPr>
        <w:t>）通过</w:t>
      </w:r>
      <w:r>
        <w:rPr>
          <w:rFonts w:hint="eastAsia" w:ascii="宋体" w:hAnsi="宋体" w:cs="宋体"/>
          <w:spacing w:val="-6"/>
          <w:sz w:val="24"/>
          <w:szCs w:val="24"/>
          <w:lang w:eastAsia="zh-CN" w:bidi="zh-CN"/>
        </w:rPr>
        <w:t>水库、河道</w:t>
      </w:r>
      <w:r>
        <w:rPr>
          <w:rFonts w:hint="eastAsia" w:ascii="宋体" w:hAnsi="宋体" w:cs="宋体"/>
          <w:spacing w:val="-6"/>
          <w:sz w:val="24"/>
          <w:szCs w:val="24"/>
          <w:lang w:val="zh-CN" w:eastAsia="zh-CN" w:bidi="zh-CN"/>
        </w:rPr>
        <w:t>项目管养，对相关设施进行及时的管养维护，保障堤防、防洪及水环境设施的安全健康运行，保障河道行洪通畅及防汛安全，有效维持水面、河岸清洁，保证河道水清岸绿景美。</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3</w:t>
      </w: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提高合作区水务系统统筹协调能力，实现全流程、全要素、统一指挥、统一管理，构建“水务大管家”管理体系；</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eastAsia="zh-CN" w:bidi="zh-CN"/>
        </w:rPr>
        <w:t>（4）通过打造“水务大管家”管理队伍，提高合作区水务系统应对突发事件、应急事务的处理能力。</w:t>
      </w:r>
    </w:p>
    <w:p>
      <w:pPr>
        <w:pStyle w:val="2"/>
      </w:pPr>
    </w:p>
    <w:p>
      <w:pPr>
        <w:jc w:val="both"/>
        <w:outlineLvl w:val="1"/>
        <w:rPr>
          <w:rFonts w:ascii="宋体" w:hAnsi="宋体"/>
          <w:b/>
          <w:sz w:val="24"/>
          <w:lang w:eastAsia="zh-CN"/>
        </w:rPr>
      </w:pPr>
      <w:r>
        <w:rPr>
          <w:rFonts w:ascii="宋体" w:hAnsi="宋体"/>
          <w:b/>
          <w:sz w:val="24"/>
          <w:lang w:eastAsia="zh-CN"/>
        </w:rPr>
        <w:t>3、项目所依据及参考标准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《中华人民共和国防洪法》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《中华人民共和国水污染防治法实施细则》</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《饮用水水源保护区污染防治管理规定》</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《水库大坝安全管理条例》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《小型水库安全管理办法》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《广东省水利工程白蚁防治办法》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《广东省河道堤防管理条例》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《深圳经济特区水资源管理条例》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《深圳经济特区饮用水源保护条例》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《深圳市饮用水源保护区管理条例》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《深圳市水务局关于加大对区街水利设施管养投入力度的通知》（深水函﹝2016﹞2034 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《深圳市小型水库管理暂行办法》（深府办[2008]19号）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《建设项目前期工作咨询收费暂行规定》（计价格[1999]1283号）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《建设项目前期工作咨询收费暂行规定》的通知（深价[2001]13号）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《水利工程管理单位定岗标准（试点）》（水办[2004]307号）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《广州市水利工程维修养护定额（试行）》（2007年12月）</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《深圳市标准化指导性技术文件河道管养技术标准》（SZDBZ 155-2015）</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《水闸技术管理规程》（SL 75-2014）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《深圳市水闸安全管理考核暂行办法》（2</w:t>
      </w:r>
      <w:r>
        <w:rPr>
          <w:rFonts w:ascii="宋体" w:hAnsi="宋体"/>
          <w:spacing w:val="-10"/>
          <w:sz w:val="24"/>
          <w:szCs w:val="24"/>
          <w:lang w:eastAsia="zh-CN"/>
        </w:rPr>
        <w:t>013</w:t>
      </w:r>
      <w:r>
        <w:rPr>
          <w:rFonts w:hint="eastAsia" w:ascii="宋体" w:hAnsi="宋体"/>
          <w:spacing w:val="-10"/>
          <w:sz w:val="24"/>
          <w:szCs w:val="24"/>
          <w:lang w:eastAsia="zh-CN"/>
        </w:rPr>
        <w:t>）</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《配电自动化系统运行维护管理规范》（Q/GDW 626-2011）</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《建设工程质量管理条例》（国务院令第279号）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《广东省保安服务管理条例》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《深圳市市政维修工程消耗量标准》（2020）</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《深圳市环卫工程消耗量标准》（2019）</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《深圳市河道管养消耗量标准》（2014）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《深圳市园林建筑绿化工程消耗量定额》（2017）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《深圳市建设工程价格信息》2022 年 1期</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《2020年深圳市人力资源市场工资指导价位》</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《水库工程管理设计规范》（SL106-96）</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《土石坝安全监测技术规范》（SL551-2012）</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《土石坝养护修理规程》（SL210-2015）</w:t>
      </w:r>
    </w:p>
    <w:p>
      <w:pPr>
        <w:pStyle w:val="59"/>
        <w:tabs>
          <w:tab w:val="left" w:pos="1134"/>
        </w:tabs>
        <w:spacing w:after="0" w:line="360" w:lineRule="auto"/>
        <w:ind w:left="1321"/>
        <w:jc w:val="both"/>
        <w:rPr>
          <w:rFonts w:ascii="宋体" w:hAnsi="宋体"/>
          <w:spacing w:val="-10"/>
          <w:sz w:val="24"/>
          <w:szCs w:val="24"/>
          <w:lang w:eastAsia="zh-CN"/>
        </w:rPr>
      </w:pPr>
    </w:p>
    <w:p>
      <w:pPr>
        <w:jc w:val="both"/>
        <w:outlineLvl w:val="1"/>
        <w:rPr>
          <w:rFonts w:ascii="宋体" w:hAnsi="宋体"/>
          <w:b/>
          <w:sz w:val="24"/>
          <w:lang w:eastAsia="zh-CN"/>
        </w:rPr>
      </w:pPr>
      <w:r>
        <w:rPr>
          <w:rFonts w:ascii="宋体" w:hAnsi="宋体"/>
          <w:b/>
          <w:sz w:val="24"/>
          <w:lang w:eastAsia="zh-CN"/>
        </w:rPr>
        <w:t>4、项目服务范围</w:t>
      </w:r>
    </w:p>
    <w:p>
      <w:pPr>
        <w:pStyle w:val="2"/>
        <w:spacing w:after="0" w:line="360" w:lineRule="auto"/>
        <w:ind w:left="0" w:firstLine="460" w:firstLineChars="200"/>
        <w:jc w:val="both"/>
        <w:rPr>
          <w:spacing w:val="-5"/>
          <w:lang w:val="en-US"/>
        </w:rPr>
      </w:pPr>
      <w:r>
        <w:rPr>
          <w:rFonts w:hint="eastAsia"/>
          <w:spacing w:val="-5"/>
        </w:rPr>
        <w:t>项目服务</w:t>
      </w:r>
      <w:r>
        <w:rPr>
          <w:rFonts w:hint="eastAsia"/>
        </w:rPr>
        <w:t>主要涵盖深圳市深汕特别合作区</w:t>
      </w:r>
      <w:r>
        <w:rPr>
          <w:rFonts w:hint="eastAsia"/>
          <w:shd w:val="solid" w:color="FFFFFF" w:fill="auto"/>
          <w:lang w:val="en-US"/>
        </w:rPr>
        <w:t>鹅埠</w:t>
      </w:r>
      <w:r>
        <w:rPr>
          <w:rFonts w:hint="eastAsia"/>
          <w:shd w:val="solid" w:color="FFFFFF" w:fill="auto"/>
        </w:rPr>
        <w:t>镇内注册登记的</w:t>
      </w:r>
      <w:r>
        <w:rPr>
          <w:rFonts w:hint="eastAsia"/>
          <w:shd w:val="solid" w:color="FFFFFF" w:fill="auto"/>
          <w:lang w:val="en-US"/>
        </w:rPr>
        <w:t>2</w:t>
      </w:r>
      <w:r>
        <w:rPr>
          <w:rFonts w:hint="eastAsia"/>
        </w:rPr>
        <w:t>座水库及</w:t>
      </w:r>
      <w:r>
        <w:rPr>
          <w:rFonts w:hint="eastAsia"/>
          <w:lang w:val="en-US"/>
        </w:rPr>
        <w:t>8</w:t>
      </w:r>
      <w:r>
        <w:rPr>
          <w:rFonts w:hint="eastAsia"/>
        </w:rPr>
        <w:t>条主要河道</w:t>
      </w:r>
      <w:r>
        <w:rPr>
          <w:rFonts w:hint="eastAsia"/>
          <w:spacing w:val="-5"/>
        </w:rPr>
        <w:t>，</w:t>
      </w:r>
      <w:r>
        <w:rPr>
          <w:rFonts w:hint="eastAsia"/>
          <w:spacing w:val="-5"/>
          <w:lang w:val="en-US"/>
        </w:rPr>
        <w:t>各水库、河道名录如下：</w:t>
      </w:r>
    </w:p>
    <w:p>
      <w:pPr>
        <w:jc w:val="center"/>
        <w:rPr>
          <w:rFonts w:ascii="仿宋" w:hAnsi="仿宋"/>
          <w:b/>
          <w:bCs/>
          <w:sz w:val="21"/>
          <w:szCs w:val="21"/>
          <w:lang w:eastAsia="zh-CN"/>
        </w:rPr>
      </w:pPr>
    </w:p>
    <w:p>
      <w:pPr>
        <w:jc w:val="center"/>
        <w:rPr>
          <w:rFonts w:ascii="仿宋" w:hAnsi="仿宋"/>
          <w:b/>
          <w:bCs/>
          <w:sz w:val="21"/>
          <w:szCs w:val="21"/>
          <w:lang w:eastAsia="zh-CN"/>
        </w:rPr>
      </w:pPr>
    </w:p>
    <w:p>
      <w:pPr>
        <w:jc w:val="center"/>
        <w:rPr>
          <w:rFonts w:eastAsia="黑体"/>
          <w:b/>
          <w:bCs/>
          <w:sz w:val="21"/>
          <w:szCs w:val="21"/>
          <w:lang w:eastAsia="zh-CN"/>
        </w:rPr>
      </w:pPr>
      <w:r>
        <w:rPr>
          <w:rFonts w:ascii="仿宋" w:hAnsi="仿宋"/>
          <w:b/>
          <w:bCs/>
          <w:sz w:val="21"/>
          <w:szCs w:val="21"/>
          <w:lang w:eastAsia="zh-CN"/>
        </w:rPr>
        <w:t>深汕合作区小（1）型水库统计表</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85"/>
        <w:gridCol w:w="1089"/>
        <w:gridCol w:w="1130"/>
        <w:gridCol w:w="886"/>
        <w:gridCol w:w="1089"/>
        <w:gridCol w:w="1089"/>
        <w:gridCol w:w="868"/>
        <w:gridCol w:w="10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restart"/>
            <w:vAlign w:val="center"/>
          </w:tcPr>
          <w:p>
            <w:pPr>
              <w:spacing w:line="240" w:lineRule="auto"/>
              <w:jc w:val="center"/>
              <w:rPr>
                <w:sz w:val="20"/>
                <w:szCs w:val="20"/>
              </w:rPr>
            </w:pPr>
            <w:r>
              <w:rPr>
                <w:sz w:val="20"/>
                <w:szCs w:val="20"/>
              </w:rPr>
              <w:t>名   称</w:t>
            </w:r>
          </w:p>
        </w:tc>
        <w:tc>
          <w:tcPr>
            <w:tcW w:w="1089" w:type="dxa"/>
            <w:vMerge w:val="restart"/>
            <w:vAlign w:val="center"/>
          </w:tcPr>
          <w:p>
            <w:pPr>
              <w:spacing w:line="240" w:lineRule="auto"/>
              <w:jc w:val="center"/>
              <w:rPr>
                <w:sz w:val="20"/>
                <w:szCs w:val="20"/>
              </w:rPr>
            </w:pPr>
            <w:r>
              <w:rPr>
                <w:sz w:val="20"/>
                <w:szCs w:val="20"/>
              </w:rPr>
              <w:t>所在地</w:t>
            </w:r>
          </w:p>
        </w:tc>
        <w:tc>
          <w:tcPr>
            <w:tcW w:w="1130" w:type="dxa"/>
            <w:vMerge w:val="restart"/>
            <w:vAlign w:val="center"/>
          </w:tcPr>
          <w:p>
            <w:pPr>
              <w:spacing w:line="240" w:lineRule="auto"/>
              <w:jc w:val="center"/>
              <w:rPr>
                <w:sz w:val="20"/>
                <w:szCs w:val="20"/>
              </w:rPr>
            </w:pPr>
            <w:r>
              <w:rPr>
                <w:sz w:val="20"/>
                <w:szCs w:val="20"/>
              </w:rPr>
              <w:t>集雨面积</w:t>
            </w:r>
          </w:p>
          <w:p>
            <w:pPr>
              <w:spacing w:line="240" w:lineRule="auto"/>
              <w:jc w:val="center"/>
              <w:rPr>
                <w:sz w:val="20"/>
                <w:szCs w:val="20"/>
              </w:rPr>
            </w:pPr>
            <w:r>
              <w:rPr>
                <w:sz w:val="20"/>
                <w:szCs w:val="20"/>
              </w:rPr>
              <w:t>（km</w:t>
            </w:r>
            <w:r>
              <w:rPr>
                <w:sz w:val="20"/>
                <w:szCs w:val="20"/>
                <w:vertAlign w:val="superscript"/>
              </w:rPr>
              <w:t>2</w:t>
            </w:r>
            <w:r>
              <w:rPr>
                <w:sz w:val="20"/>
                <w:szCs w:val="20"/>
              </w:rPr>
              <w:t>）</w:t>
            </w:r>
          </w:p>
        </w:tc>
        <w:tc>
          <w:tcPr>
            <w:tcW w:w="3932" w:type="dxa"/>
            <w:gridSpan w:val="4"/>
            <w:vAlign w:val="center"/>
          </w:tcPr>
          <w:p>
            <w:pPr>
              <w:spacing w:line="240" w:lineRule="auto"/>
              <w:jc w:val="center"/>
              <w:rPr>
                <w:sz w:val="20"/>
                <w:szCs w:val="20"/>
              </w:rPr>
            </w:pPr>
            <w:r>
              <w:rPr>
                <w:sz w:val="20"/>
                <w:szCs w:val="20"/>
              </w:rPr>
              <w:t>库    容（万m³）</w:t>
            </w:r>
          </w:p>
        </w:tc>
        <w:tc>
          <w:tcPr>
            <w:tcW w:w="1086" w:type="dxa"/>
            <w:vMerge w:val="restart"/>
            <w:vAlign w:val="center"/>
          </w:tcPr>
          <w:p>
            <w:pPr>
              <w:spacing w:line="240" w:lineRule="auto"/>
              <w:jc w:val="center"/>
              <w:rPr>
                <w:sz w:val="20"/>
                <w:szCs w:val="20"/>
              </w:rPr>
            </w:pPr>
            <w:r>
              <w:rPr>
                <w:sz w:val="20"/>
                <w:szCs w:val="20"/>
              </w:rPr>
              <w:t>灌溉面积（万亩）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continue"/>
            <w:vAlign w:val="center"/>
          </w:tcPr>
          <w:p>
            <w:pPr>
              <w:spacing w:line="240" w:lineRule="auto"/>
              <w:jc w:val="center"/>
              <w:rPr>
                <w:sz w:val="20"/>
                <w:szCs w:val="20"/>
              </w:rPr>
            </w:pPr>
          </w:p>
        </w:tc>
        <w:tc>
          <w:tcPr>
            <w:tcW w:w="1089" w:type="dxa"/>
            <w:vMerge w:val="continue"/>
            <w:vAlign w:val="center"/>
          </w:tcPr>
          <w:p>
            <w:pPr>
              <w:spacing w:line="240" w:lineRule="auto"/>
              <w:jc w:val="center"/>
              <w:rPr>
                <w:sz w:val="20"/>
                <w:szCs w:val="20"/>
              </w:rPr>
            </w:pPr>
          </w:p>
        </w:tc>
        <w:tc>
          <w:tcPr>
            <w:tcW w:w="1130" w:type="dxa"/>
            <w:vMerge w:val="continue"/>
            <w:vAlign w:val="center"/>
          </w:tcPr>
          <w:p>
            <w:pPr>
              <w:spacing w:line="240" w:lineRule="auto"/>
              <w:jc w:val="center"/>
              <w:rPr>
                <w:sz w:val="20"/>
                <w:szCs w:val="20"/>
              </w:rPr>
            </w:pPr>
          </w:p>
        </w:tc>
        <w:tc>
          <w:tcPr>
            <w:tcW w:w="886" w:type="dxa"/>
            <w:vAlign w:val="center"/>
          </w:tcPr>
          <w:p>
            <w:pPr>
              <w:spacing w:line="240" w:lineRule="auto"/>
              <w:jc w:val="center"/>
              <w:rPr>
                <w:sz w:val="20"/>
                <w:szCs w:val="20"/>
              </w:rPr>
            </w:pPr>
            <w:r>
              <w:rPr>
                <w:sz w:val="20"/>
                <w:szCs w:val="20"/>
              </w:rPr>
              <w:t>总库容</w:t>
            </w:r>
          </w:p>
        </w:tc>
        <w:tc>
          <w:tcPr>
            <w:tcW w:w="1089" w:type="dxa"/>
            <w:vAlign w:val="center"/>
          </w:tcPr>
          <w:p>
            <w:pPr>
              <w:spacing w:line="240" w:lineRule="auto"/>
              <w:jc w:val="center"/>
              <w:rPr>
                <w:sz w:val="20"/>
                <w:szCs w:val="20"/>
              </w:rPr>
            </w:pPr>
            <w:r>
              <w:rPr>
                <w:sz w:val="20"/>
                <w:szCs w:val="20"/>
              </w:rPr>
              <w:t>正常库容</w:t>
            </w:r>
          </w:p>
        </w:tc>
        <w:tc>
          <w:tcPr>
            <w:tcW w:w="1089" w:type="dxa"/>
            <w:vAlign w:val="center"/>
          </w:tcPr>
          <w:p>
            <w:pPr>
              <w:spacing w:line="240" w:lineRule="auto"/>
              <w:jc w:val="center"/>
              <w:rPr>
                <w:sz w:val="20"/>
                <w:szCs w:val="20"/>
              </w:rPr>
            </w:pPr>
            <w:r>
              <w:rPr>
                <w:sz w:val="20"/>
                <w:szCs w:val="20"/>
              </w:rPr>
              <w:t>兴利库容</w:t>
            </w:r>
          </w:p>
        </w:tc>
        <w:tc>
          <w:tcPr>
            <w:tcW w:w="868" w:type="dxa"/>
            <w:vAlign w:val="center"/>
          </w:tcPr>
          <w:p>
            <w:pPr>
              <w:spacing w:line="240" w:lineRule="auto"/>
              <w:jc w:val="center"/>
              <w:rPr>
                <w:sz w:val="20"/>
                <w:szCs w:val="20"/>
              </w:rPr>
            </w:pPr>
            <w:r>
              <w:rPr>
                <w:sz w:val="20"/>
                <w:szCs w:val="20"/>
              </w:rPr>
              <w:t>死库容</w:t>
            </w:r>
          </w:p>
        </w:tc>
        <w:tc>
          <w:tcPr>
            <w:tcW w:w="1086" w:type="dxa"/>
            <w:vMerge w:val="continue"/>
            <w:vAlign w:val="center"/>
          </w:tcPr>
          <w:p>
            <w:pPr>
              <w:spacing w:line="240"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Align w:val="center"/>
          </w:tcPr>
          <w:p>
            <w:pPr>
              <w:spacing w:line="240" w:lineRule="auto"/>
              <w:jc w:val="center"/>
              <w:rPr>
                <w:sz w:val="20"/>
                <w:szCs w:val="20"/>
              </w:rPr>
            </w:pPr>
            <w:r>
              <w:rPr>
                <w:sz w:val="20"/>
                <w:szCs w:val="20"/>
              </w:rPr>
              <w:t>嘉田水库</w:t>
            </w:r>
          </w:p>
        </w:tc>
        <w:tc>
          <w:tcPr>
            <w:tcW w:w="1089" w:type="dxa"/>
            <w:vAlign w:val="center"/>
          </w:tcPr>
          <w:p>
            <w:pPr>
              <w:spacing w:line="240" w:lineRule="auto"/>
              <w:jc w:val="center"/>
              <w:rPr>
                <w:sz w:val="20"/>
                <w:szCs w:val="20"/>
              </w:rPr>
            </w:pPr>
            <w:r>
              <w:rPr>
                <w:sz w:val="20"/>
                <w:szCs w:val="20"/>
              </w:rPr>
              <w:t>鹅埠镇</w:t>
            </w:r>
          </w:p>
        </w:tc>
        <w:tc>
          <w:tcPr>
            <w:tcW w:w="1130" w:type="dxa"/>
            <w:vAlign w:val="center"/>
          </w:tcPr>
          <w:p>
            <w:pPr>
              <w:spacing w:line="240" w:lineRule="auto"/>
              <w:jc w:val="center"/>
              <w:rPr>
                <w:sz w:val="20"/>
                <w:szCs w:val="20"/>
              </w:rPr>
            </w:pPr>
            <w:r>
              <w:rPr>
                <w:color w:val="000000"/>
                <w:sz w:val="20"/>
                <w:szCs w:val="20"/>
              </w:rPr>
              <w:t>8.37</w:t>
            </w:r>
          </w:p>
        </w:tc>
        <w:tc>
          <w:tcPr>
            <w:tcW w:w="886" w:type="dxa"/>
            <w:vAlign w:val="center"/>
          </w:tcPr>
          <w:p>
            <w:pPr>
              <w:spacing w:line="240" w:lineRule="auto"/>
              <w:jc w:val="center"/>
              <w:rPr>
                <w:sz w:val="20"/>
                <w:szCs w:val="20"/>
              </w:rPr>
            </w:pPr>
            <w:r>
              <w:rPr>
                <w:color w:val="000000"/>
                <w:sz w:val="20"/>
                <w:szCs w:val="20"/>
              </w:rPr>
              <w:t>399.10</w:t>
            </w:r>
          </w:p>
        </w:tc>
        <w:tc>
          <w:tcPr>
            <w:tcW w:w="1089" w:type="dxa"/>
            <w:vAlign w:val="center"/>
          </w:tcPr>
          <w:p>
            <w:pPr>
              <w:spacing w:line="240" w:lineRule="auto"/>
              <w:jc w:val="center"/>
              <w:rPr>
                <w:sz w:val="20"/>
                <w:szCs w:val="20"/>
              </w:rPr>
            </w:pPr>
            <w:r>
              <w:rPr>
                <w:color w:val="000000"/>
                <w:sz w:val="20"/>
                <w:szCs w:val="20"/>
              </w:rPr>
              <w:t>257.40</w:t>
            </w:r>
          </w:p>
        </w:tc>
        <w:tc>
          <w:tcPr>
            <w:tcW w:w="1089" w:type="dxa"/>
            <w:vAlign w:val="center"/>
          </w:tcPr>
          <w:p>
            <w:pPr>
              <w:spacing w:line="240" w:lineRule="auto"/>
              <w:jc w:val="center"/>
              <w:rPr>
                <w:sz w:val="20"/>
                <w:szCs w:val="20"/>
              </w:rPr>
            </w:pPr>
            <w:r>
              <w:rPr>
                <w:color w:val="000000"/>
                <w:sz w:val="20"/>
                <w:szCs w:val="20"/>
              </w:rPr>
              <w:t>345.10</w:t>
            </w:r>
          </w:p>
        </w:tc>
        <w:tc>
          <w:tcPr>
            <w:tcW w:w="868" w:type="dxa"/>
            <w:vAlign w:val="center"/>
          </w:tcPr>
          <w:p>
            <w:pPr>
              <w:spacing w:line="240" w:lineRule="auto"/>
              <w:jc w:val="center"/>
              <w:rPr>
                <w:sz w:val="20"/>
                <w:szCs w:val="20"/>
              </w:rPr>
            </w:pPr>
            <w:r>
              <w:rPr>
                <w:color w:val="000000"/>
                <w:sz w:val="20"/>
                <w:szCs w:val="20"/>
              </w:rPr>
              <w:t>54.00</w:t>
            </w:r>
          </w:p>
        </w:tc>
        <w:tc>
          <w:tcPr>
            <w:tcW w:w="1086" w:type="dxa"/>
            <w:vAlign w:val="center"/>
          </w:tcPr>
          <w:p>
            <w:pPr>
              <w:spacing w:line="240" w:lineRule="auto"/>
              <w:jc w:val="center"/>
              <w:rPr>
                <w:sz w:val="20"/>
                <w:szCs w:val="20"/>
              </w:rPr>
            </w:pPr>
            <w:r>
              <w:rPr>
                <w:color w:val="000000"/>
                <w:sz w:val="20"/>
                <w:szCs w:val="20"/>
              </w:rPr>
              <w:t>0.63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8522" w:type="dxa"/>
            <w:gridSpan w:val="8"/>
            <w:vAlign w:val="center"/>
          </w:tcPr>
          <w:p>
            <w:pPr>
              <w:spacing w:line="240" w:lineRule="auto"/>
              <w:rPr>
                <w:sz w:val="20"/>
                <w:szCs w:val="20"/>
                <w:lang w:eastAsia="zh-CN"/>
              </w:rPr>
            </w:pPr>
            <w:r>
              <w:rPr>
                <w:sz w:val="20"/>
                <w:szCs w:val="20"/>
                <w:lang w:eastAsia="zh-CN"/>
              </w:rPr>
              <w:t>注：嘉田水库现状供水对象为惠东县吉隆镇（500m³/d）。</w:t>
            </w:r>
          </w:p>
        </w:tc>
      </w:tr>
    </w:tbl>
    <w:p>
      <w:pPr>
        <w:jc w:val="center"/>
        <w:rPr>
          <w:rFonts w:ascii="仿宋" w:hAnsi="仿宋"/>
          <w:b/>
          <w:bCs/>
          <w:sz w:val="21"/>
          <w:szCs w:val="21"/>
          <w:lang w:eastAsia="zh-CN"/>
        </w:rPr>
      </w:pPr>
    </w:p>
    <w:p>
      <w:pPr>
        <w:jc w:val="center"/>
        <w:rPr>
          <w:rFonts w:ascii="仿宋" w:hAnsi="仿宋"/>
          <w:b/>
          <w:bCs/>
          <w:sz w:val="21"/>
          <w:szCs w:val="21"/>
          <w:lang w:eastAsia="zh-CN"/>
        </w:rPr>
      </w:pPr>
      <w:r>
        <w:rPr>
          <w:rFonts w:ascii="仿宋" w:hAnsi="仿宋"/>
          <w:b/>
          <w:bCs/>
          <w:sz w:val="21"/>
          <w:szCs w:val="21"/>
          <w:lang w:eastAsia="zh-CN"/>
        </w:rPr>
        <w:t>深汕合作区小（2）型水库统计表</w:t>
      </w:r>
    </w:p>
    <w:tbl>
      <w:tblPr>
        <w:tblStyle w:val="20"/>
        <w:tblW w:w="8522" w:type="dxa"/>
        <w:tblInd w:w="0" w:type="dxa"/>
        <w:tblLayout w:type="fixed"/>
        <w:tblCellMar>
          <w:top w:w="0" w:type="dxa"/>
          <w:left w:w="108" w:type="dxa"/>
          <w:bottom w:w="0" w:type="dxa"/>
          <w:right w:w="108" w:type="dxa"/>
        </w:tblCellMar>
      </w:tblPr>
      <w:tblGrid>
        <w:gridCol w:w="1215"/>
        <w:gridCol w:w="1220"/>
        <w:gridCol w:w="1217"/>
        <w:gridCol w:w="1217"/>
        <w:gridCol w:w="1217"/>
        <w:gridCol w:w="1219"/>
        <w:gridCol w:w="1217"/>
      </w:tblGrid>
      <w:tr>
        <w:tblPrEx>
          <w:tblCellMar>
            <w:top w:w="0" w:type="dxa"/>
            <w:left w:w="108" w:type="dxa"/>
            <w:bottom w:w="0" w:type="dxa"/>
            <w:right w:w="108" w:type="dxa"/>
          </w:tblCellMar>
        </w:tblPrEx>
        <w:trPr>
          <w:trHeight w:val="300" w:hRule="atLeast"/>
        </w:trPr>
        <w:tc>
          <w:tcPr>
            <w:tcW w:w="1215"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水库名称</w:t>
            </w:r>
          </w:p>
        </w:tc>
        <w:tc>
          <w:tcPr>
            <w:tcW w:w="1220"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所在地</w:t>
            </w:r>
          </w:p>
        </w:tc>
        <w:tc>
          <w:tcPr>
            <w:tcW w:w="1217"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集雨面积（km</w:t>
            </w:r>
            <w:r>
              <w:rPr>
                <w:sz w:val="20"/>
                <w:szCs w:val="20"/>
                <w:vertAlign w:val="superscript"/>
              </w:rPr>
              <w:t>2</w:t>
            </w:r>
            <w:r>
              <w:rPr>
                <w:sz w:val="20"/>
                <w:szCs w:val="20"/>
              </w:rPr>
              <w:t>）</w:t>
            </w:r>
          </w:p>
        </w:tc>
        <w:tc>
          <w:tcPr>
            <w:tcW w:w="3653" w:type="dxa"/>
            <w:gridSpan w:val="3"/>
            <w:tcBorders>
              <w:top w:val="single" w:color="auto" w:sz="8" w:space="0"/>
              <w:left w:val="nil"/>
              <w:bottom w:val="single" w:color="auto" w:sz="8" w:space="0"/>
              <w:right w:val="single" w:color="000000" w:sz="8" w:space="0"/>
            </w:tcBorders>
            <w:vAlign w:val="center"/>
          </w:tcPr>
          <w:p>
            <w:pPr>
              <w:spacing w:line="240" w:lineRule="auto"/>
              <w:jc w:val="center"/>
              <w:rPr>
                <w:sz w:val="20"/>
                <w:szCs w:val="20"/>
              </w:rPr>
            </w:pPr>
            <w:r>
              <w:rPr>
                <w:sz w:val="20"/>
                <w:szCs w:val="20"/>
              </w:rPr>
              <w:t>库      容（万m³）</w:t>
            </w:r>
          </w:p>
        </w:tc>
        <w:tc>
          <w:tcPr>
            <w:tcW w:w="1217" w:type="dxa"/>
            <w:tcBorders>
              <w:top w:val="single" w:color="auto" w:sz="8" w:space="0"/>
              <w:left w:val="nil"/>
              <w:bottom w:val="nil"/>
              <w:right w:val="single" w:color="auto" w:sz="8" w:space="0"/>
            </w:tcBorders>
            <w:vAlign w:val="center"/>
          </w:tcPr>
          <w:p>
            <w:pPr>
              <w:spacing w:line="240" w:lineRule="auto"/>
              <w:jc w:val="center"/>
              <w:rPr>
                <w:sz w:val="20"/>
                <w:szCs w:val="20"/>
              </w:rPr>
            </w:pPr>
            <w:r>
              <w:rPr>
                <w:sz w:val="20"/>
                <w:szCs w:val="20"/>
              </w:rPr>
              <w:t>灌溉面积</w:t>
            </w:r>
          </w:p>
        </w:tc>
      </w:tr>
      <w:tr>
        <w:tblPrEx>
          <w:tblCellMar>
            <w:top w:w="0" w:type="dxa"/>
            <w:left w:w="108" w:type="dxa"/>
            <w:bottom w:w="0" w:type="dxa"/>
            <w:right w:w="108" w:type="dxa"/>
          </w:tblCellMar>
        </w:tblPrEx>
        <w:trPr>
          <w:trHeight w:val="300" w:hRule="atLeast"/>
        </w:trPr>
        <w:tc>
          <w:tcPr>
            <w:tcW w:w="1215"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20"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总库容</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正常库容</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调洪库容</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（万亩）</w:t>
            </w:r>
          </w:p>
        </w:tc>
      </w:tr>
      <w:tr>
        <w:tblPrEx>
          <w:tblCellMar>
            <w:top w:w="0" w:type="dxa"/>
            <w:left w:w="108" w:type="dxa"/>
            <w:bottom w:w="0" w:type="dxa"/>
            <w:right w:w="108" w:type="dxa"/>
          </w:tblCellMar>
        </w:tblPrEx>
        <w:trPr>
          <w:trHeight w:val="300" w:hRule="atLeast"/>
        </w:trPr>
        <w:tc>
          <w:tcPr>
            <w:tcW w:w="1215"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马老山水库</w:t>
            </w:r>
          </w:p>
        </w:tc>
        <w:tc>
          <w:tcPr>
            <w:tcW w:w="1220" w:type="dxa"/>
            <w:tcBorders>
              <w:top w:val="single" w:color="auto" w:sz="4" w:space="0"/>
              <w:left w:val="single" w:color="auto" w:sz="8" w:space="0"/>
              <w:bottom w:val="single" w:color="auto" w:sz="4" w:space="0"/>
              <w:right w:val="single" w:color="auto" w:sz="8" w:space="0"/>
            </w:tcBorders>
            <w:vAlign w:val="center"/>
          </w:tcPr>
          <w:p>
            <w:pPr>
              <w:spacing w:line="240" w:lineRule="auto"/>
              <w:jc w:val="center"/>
              <w:rPr>
                <w:sz w:val="20"/>
                <w:szCs w:val="20"/>
              </w:rPr>
            </w:pPr>
            <w:r>
              <w:rPr>
                <w:sz w:val="20"/>
                <w:szCs w:val="20"/>
              </w:rPr>
              <w:t>鹅埠镇</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0.27</w:t>
            </w:r>
          </w:p>
        </w:tc>
        <w:tc>
          <w:tcPr>
            <w:tcW w:w="1217" w:type="dxa"/>
            <w:tcBorders>
              <w:top w:val="nil"/>
              <w:left w:val="nil"/>
              <w:bottom w:val="single" w:color="auto" w:sz="8" w:space="0"/>
              <w:right w:val="single" w:color="auto" w:sz="8" w:space="0"/>
            </w:tcBorders>
            <w:vAlign w:val="center"/>
          </w:tcPr>
          <w:p>
            <w:pPr>
              <w:spacing w:line="240" w:lineRule="auto"/>
              <w:jc w:val="center"/>
              <w:textAlignment w:val="center"/>
              <w:rPr>
                <w:sz w:val="20"/>
                <w:szCs w:val="20"/>
              </w:rPr>
            </w:pPr>
            <w:r>
              <w:rPr>
                <w:color w:val="000000"/>
                <w:sz w:val="20"/>
                <w:szCs w:val="20"/>
              </w:rPr>
              <w:t>9.71</w:t>
            </w:r>
          </w:p>
        </w:tc>
        <w:tc>
          <w:tcPr>
            <w:tcW w:w="1217" w:type="dxa"/>
            <w:tcBorders>
              <w:top w:val="nil"/>
              <w:left w:val="nil"/>
              <w:bottom w:val="single" w:color="auto" w:sz="8" w:space="0"/>
              <w:right w:val="single" w:color="auto" w:sz="8" w:space="0"/>
            </w:tcBorders>
            <w:vAlign w:val="center"/>
          </w:tcPr>
          <w:p>
            <w:pPr>
              <w:spacing w:line="240" w:lineRule="auto"/>
              <w:jc w:val="center"/>
              <w:textAlignment w:val="center"/>
              <w:rPr>
                <w:sz w:val="20"/>
                <w:szCs w:val="20"/>
              </w:rPr>
            </w:pPr>
            <w:r>
              <w:rPr>
                <w:color w:val="000000"/>
                <w:sz w:val="20"/>
                <w:szCs w:val="20"/>
              </w:rPr>
              <w:t>7.50</w:t>
            </w:r>
          </w:p>
        </w:tc>
        <w:tc>
          <w:tcPr>
            <w:tcW w:w="1219" w:type="dxa"/>
            <w:tcBorders>
              <w:top w:val="nil"/>
              <w:left w:val="nil"/>
              <w:bottom w:val="single" w:color="auto" w:sz="8" w:space="0"/>
              <w:right w:val="single" w:color="auto" w:sz="8" w:space="0"/>
            </w:tcBorders>
            <w:vAlign w:val="center"/>
          </w:tcPr>
          <w:p>
            <w:pPr>
              <w:spacing w:line="240" w:lineRule="auto"/>
              <w:jc w:val="center"/>
              <w:textAlignment w:val="center"/>
              <w:rPr>
                <w:sz w:val="20"/>
                <w:szCs w:val="20"/>
              </w:rPr>
            </w:pPr>
            <w:r>
              <w:rPr>
                <w:color w:val="000000"/>
                <w:sz w:val="20"/>
                <w:szCs w:val="20"/>
              </w:rPr>
              <w:t>2.21</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0.10</w:t>
            </w:r>
          </w:p>
        </w:tc>
      </w:tr>
    </w:tbl>
    <w:p>
      <w:pPr>
        <w:shd w:val="clear" w:color="auto" w:fill="FFFFFF" w:themeFill="background1"/>
        <w:spacing w:line="276" w:lineRule="auto"/>
      </w:pPr>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市管1条河道名录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南门河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赤石镇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5.2</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62.62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48.58</w:t>
            </w:r>
          </w:p>
        </w:tc>
      </w:tr>
    </w:tbl>
    <w:p>
      <w:pPr>
        <w:pStyle w:val="2"/>
      </w:pPr>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区管7条河道名录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350"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rFonts w:ascii="Times New Roman" w:hAnsi="Times New Roman"/>
                <w:kern w:val="2"/>
                <w:sz w:val="21"/>
                <w:szCs w:val="24"/>
                <w:lang w:eastAsia="zh-CN"/>
              </w:rP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rFonts w:ascii="Times New Roman" w:hAnsi="Times New Roman"/>
                <w:kern w:val="2"/>
                <w:sz w:val="21"/>
                <w:szCs w:val="24"/>
                <w:lang w:eastAsia="zh-CN"/>
              </w:rPr>
            </w:pPr>
            <w:r>
              <w:rPr>
                <w:rFonts w:hint="eastAsia"/>
                <w:lang w:eastAsia="zh-CN"/>
              </w:rPr>
              <w:t>下北水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rFonts w:ascii="Times New Roman" w:hAnsi="Times New Roman"/>
                <w:kern w:val="2"/>
                <w:sz w:val="21"/>
                <w:szCs w:val="24"/>
                <w:lang w:eastAsia="zh-CN"/>
              </w:rP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rFonts w:ascii="Times New Roman" w:hAnsi="Times New Roman"/>
                <w:kern w:val="2"/>
                <w:sz w:val="21"/>
                <w:szCs w:val="24"/>
                <w:lang w:eastAsia="zh-CN"/>
              </w:rPr>
            </w:pPr>
            <w:r>
              <w:rPr>
                <w:rFonts w:hint="eastAsia"/>
                <w:lang w:eastAsia="zh-CN"/>
              </w:rPr>
              <w:t>7.31</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rFonts w:ascii="Times New Roman" w:hAnsi="Times New Roman"/>
                <w:kern w:val="2"/>
                <w:sz w:val="21"/>
                <w:szCs w:val="24"/>
                <w:lang w:eastAsia="zh-CN"/>
              </w:rPr>
            </w:pPr>
            <w:r>
              <w:rPr>
                <w:rFonts w:hint="eastAsia"/>
                <w:lang w:eastAsia="zh-CN"/>
              </w:rPr>
              <w:t>12.00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rFonts w:ascii="Times New Roman" w:hAnsi="Times New Roman"/>
                <w:kern w:val="2"/>
                <w:sz w:val="21"/>
                <w:szCs w:val="24"/>
                <w:lang w:eastAsia="zh-CN"/>
              </w:rPr>
            </w:pPr>
            <w:r>
              <w:rPr>
                <w:rFonts w:hint="eastAsia"/>
                <w:lang w:eastAsia="zh-CN"/>
              </w:rPr>
              <w:t>36.95</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路径坑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0.94</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1.50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4.24</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鹅仔下河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2.53</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5.48</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12.26</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双坑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1.32</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1.91</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5.80</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新屋水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1.64</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3.97</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7.80</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长岭坑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3.36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7.11</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15.53</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田寮河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鹅埠镇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1.70</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3.61</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8.09</w:t>
            </w:r>
          </w:p>
        </w:tc>
      </w:tr>
      <w:tr>
        <w:tblPrEx>
          <w:tblCellMar>
            <w:top w:w="0" w:type="dxa"/>
            <w:left w:w="0" w:type="dxa"/>
            <w:bottom w:w="0" w:type="dxa"/>
            <w:right w:w="0" w:type="dxa"/>
          </w:tblCellMar>
        </w:tblPrEx>
        <w:trPr>
          <w:trHeight w:val="285" w:hRule="atLeast"/>
        </w:trPr>
        <w:tc>
          <w:tcPr>
            <w:tcW w:w="3545" w:type="dxa"/>
            <w:gridSpan w:val="3"/>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合计</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11.49</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23.58</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53.72</w:t>
            </w:r>
          </w:p>
        </w:tc>
      </w:tr>
    </w:tbl>
    <w:p>
      <w:pPr>
        <w:jc w:val="center"/>
        <w:rPr>
          <w:rFonts w:ascii="仿宋" w:hAnsi="仿宋"/>
          <w:b/>
          <w:bCs/>
          <w:sz w:val="21"/>
          <w:szCs w:val="21"/>
        </w:rPr>
      </w:pPr>
    </w:p>
    <w:p>
      <w:pPr>
        <w:pStyle w:val="2"/>
        <w:spacing w:after="0" w:line="360" w:lineRule="auto"/>
        <w:ind w:left="0" w:firstLine="460" w:firstLineChars="200"/>
        <w:jc w:val="both"/>
        <w:rPr>
          <w:shd w:val="solid" w:color="FFFFFF" w:fill="auto"/>
        </w:rPr>
      </w:pPr>
      <w:r>
        <w:rPr>
          <w:rFonts w:hint="eastAsia"/>
          <w:spacing w:val="-5"/>
        </w:rPr>
        <w:t>具体包括</w:t>
      </w:r>
      <w:r>
        <w:rPr>
          <w:rFonts w:hint="eastAsia"/>
          <w:shd w:val="solid" w:color="FFFFFF" w:fill="auto"/>
        </w:rPr>
        <w:t>小（</w:t>
      </w:r>
      <w:r>
        <w:rPr>
          <w:rFonts w:hint="eastAsia"/>
          <w:shd w:val="solid" w:color="FFFFFF" w:fill="auto"/>
          <w:lang w:val="en-US"/>
        </w:rPr>
        <w:t>1</w:t>
      </w:r>
      <w:r>
        <w:rPr>
          <w:rFonts w:hint="eastAsia"/>
          <w:shd w:val="solid" w:color="FFFFFF" w:fill="auto"/>
        </w:rPr>
        <w:t>）型</w:t>
      </w:r>
      <w:r>
        <w:rPr>
          <w:rFonts w:hint="eastAsia"/>
          <w:shd w:val="solid" w:color="FFFFFF" w:fill="auto"/>
          <w:lang w:val="en-US"/>
        </w:rPr>
        <w:t>/小（2）型水库2</w:t>
      </w:r>
      <w:r>
        <w:rPr>
          <w:rFonts w:hint="eastAsia"/>
          <w:shd w:val="solid" w:color="FFFFFF" w:fill="auto"/>
        </w:rPr>
        <w:t>座（</w:t>
      </w:r>
      <w:r>
        <w:rPr>
          <w:rFonts w:hint="eastAsia"/>
          <w:shd w:val="solid" w:color="FFFFFF" w:fill="auto"/>
          <w:lang w:val="en-US"/>
        </w:rPr>
        <w:t>嘉田水库、马老山水库</w:t>
      </w:r>
      <w:r>
        <w:rPr>
          <w:rFonts w:hint="eastAsia"/>
          <w:shd w:val="solid" w:color="FFFFFF" w:fill="auto"/>
        </w:rPr>
        <w:t>）及</w:t>
      </w:r>
      <w:r>
        <w:rPr>
          <w:rFonts w:hint="eastAsia"/>
          <w:shd w:val="solid" w:color="FFFFFF" w:fill="auto"/>
          <w:lang w:val="en-US"/>
        </w:rPr>
        <w:t>8</w:t>
      </w:r>
      <w:r>
        <w:rPr>
          <w:rFonts w:hint="eastAsia"/>
          <w:shd w:val="solid" w:color="FFFFFF" w:fill="auto"/>
        </w:rPr>
        <w:t>条河道（</w:t>
      </w:r>
      <w:r>
        <w:rPr>
          <w:rFonts w:hint="eastAsia"/>
          <w:shd w:val="solid" w:color="FFFFFF" w:fill="auto"/>
          <w:lang w:val="en-US"/>
        </w:rPr>
        <w:t>下北水、南门河、鹅仔下河、路径坑、新屋水、田寮河、双坑、长岭坑</w:t>
      </w:r>
      <w:r>
        <w:rPr>
          <w:rFonts w:hint="eastAsia"/>
        </w:rPr>
        <w:t>）共计</w:t>
      </w:r>
      <w:r>
        <w:rPr>
          <w:rFonts w:hint="eastAsia"/>
          <w:lang w:val="en-US"/>
        </w:rPr>
        <w:t>16.69</w:t>
      </w:r>
      <w:r>
        <w:rPr>
          <w:rFonts w:hint="eastAsia"/>
        </w:rPr>
        <w:t>km河道</w:t>
      </w:r>
      <w:r>
        <w:rPr>
          <w:spacing w:val="-5"/>
        </w:rPr>
        <w:t>及</w:t>
      </w:r>
      <w:r>
        <w:rPr>
          <w:rFonts w:hint="eastAsia"/>
          <w:spacing w:val="-5"/>
          <w:lang w:val="en-US"/>
        </w:rPr>
        <w:t>绿化、闸门等</w:t>
      </w:r>
      <w:r>
        <w:rPr>
          <w:spacing w:val="-5"/>
        </w:rPr>
        <w:t>附属设施</w:t>
      </w:r>
      <w:r>
        <w:rPr>
          <w:rFonts w:hint="eastAsia"/>
          <w:spacing w:val="-5"/>
        </w:rPr>
        <w:t>。</w:t>
      </w:r>
    </w:p>
    <w:p>
      <w:pPr>
        <w:jc w:val="both"/>
        <w:outlineLvl w:val="1"/>
        <w:rPr>
          <w:rFonts w:ascii="宋体" w:hAnsi="宋体"/>
          <w:b/>
          <w:sz w:val="24"/>
          <w:lang w:eastAsia="zh-CN"/>
        </w:rPr>
      </w:pPr>
    </w:p>
    <w:p>
      <w:pPr>
        <w:jc w:val="both"/>
        <w:outlineLvl w:val="1"/>
        <w:rPr>
          <w:rFonts w:ascii="宋体" w:hAnsi="宋体"/>
          <w:b/>
          <w:sz w:val="24"/>
          <w:lang w:eastAsia="zh-CN"/>
        </w:rPr>
      </w:pPr>
      <w:r>
        <w:rPr>
          <w:rFonts w:hint="eastAsia" w:ascii="宋体" w:hAnsi="宋体"/>
          <w:b/>
          <w:sz w:val="24"/>
          <w:lang w:eastAsia="zh-CN"/>
        </w:rPr>
        <w:t>5、项目主要工作内容</w:t>
      </w:r>
    </w:p>
    <w:p>
      <w:pPr>
        <w:pStyle w:val="2"/>
        <w:spacing w:after="0" w:line="360" w:lineRule="auto"/>
        <w:ind w:left="0" w:firstLine="480" w:firstLineChars="200"/>
        <w:jc w:val="both"/>
      </w:pPr>
      <w:r>
        <w:t>日常项目包含</w:t>
      </w:r>
      <w:r>
        <w:rPr>
          <w:rFonts w:hint="eastAsia"/>
          <w:lang w:val="en-US"/>
        </w:rPr>
        <w:t>以下</w:t>
      </w:r>
      <w:r>
        <w:t>工作内容</w:t>
      </w:r>
      <w:r>
        <w:rPr>
          <w:rFonts w:hint="eastAsia"/>
        </w:rPr>
        <w:t>，</w:t>
      </w:r>
      <w:r>
        <w:t>详见</w:t>
      </w:r>
      <w:r>
        <w:rPr>
          <w:rFonts w:hint="eastAsia"/>
        </w:rPr>
        <w:t>“项目管理要求”的相关内容：</w:t>
      </w:r>
    </w:p>
    <w:p>
      <w:pPr>
        <w:pStyle w:val="2"/>
        <w:spacing w:after="0" w:line="360" w:lineRule="auto"/>
        <w:ind w:left="0" w:firstLine="480" w:firstLineChars="200"/>
        <w:jc w:val="both"/>
      </w:pPr>
      <w:r>
        <w:rPr>
          <w:rFonts w:hint="eastAsia"/>
        </w:rPr>
        <w:t>（</w:t>
      </w:r>
      <w:r>
        <w:t>1</w:t>
      </w:r>
      <w:r>
        <w:rPr>
          <w:rFonts w:hint="eastAsia"/>
        </w:rPr>
        <w:t>）</w:t>
      </w:r>
      <w:r>
        <w:rPr>
          <w:rFonts w:hint="eastAsia"/>
          <w:lang w:val="en-US"/>
        </w:rPr>
        <w:t>2座</w:t>
      </w:r>
      <w:r>
        <w:rPr>
          <w:rFonts w:hint="eastAsia"/>
        </w:rPr>
        <w:t>水库与</w:t>
      </w:r>
      <w:r>
        <w:rPr>
          <w:rFonts w:hint="eastAsia"/>
          <w:lang w:val="en-US"/>
        </w:rPr>
        <w:t>8条</w:t>
      </w:r>
      <w:r>
        <w:rPr>
          <w:rFonts w:hint="eastAsia"/>
        </w:rPr>
        <w:t>河道的巡查、</w:t>
      </w:r>
      <w:r>
        <w:rPr>
          <w:rFonts w:hint="eastAsia"/>
          <w:lang w:val="en-US"/>
        </w:rPr>
        <w:t>管理和养护</w:t>
      </w:r>
      <w:r>
        <w:rPr>
          <w:rFonts w:hint="eastAsia"/>
        </w:rPr>
        <w:t>；</w:t>
      </w:r>
    </w:p>
    <w:p>
      <w:pPr>
        <w:pStyle w:val="2"/>
        <w:spacing w:after="0" w:line="360" w:lineRule="auto"/>
        <w:ind w:left="0" w:firstLine="480" w:firstLineChars="200"/>
        <w:jc w:val="both"/>
      </w:pPr>
      <w:r>
        <w:rPr>
          <w:rFonts w:hint="eastAsia"/>
        </w:rPr>
        <w:t>（</w:t>
      </w:r>
      <w:r>
        <w:t>2</w:t>
      </w:r>
      <w:r>
        <w:rPr>
          <w:rFonts w:hint="eastAsia"/>
        </w:rPr>
        <w:t>）</w:t>
      </w:r>
      <w:r>
        <w:rPr>
          <w:rFonts w:hint="eastAsia"/>
          <w:lang w:val="en-US"/>
        </w:rPr>
        <w:t>2座</w:t>
      </w:r>
      <w:r>
        <w:rPr>
          <w:rFonts w:hint="eastAsia"/>
        </w:rPr>
        <w:t>水库与</w:t>
      </w:r>
      <w:r>
        <w:rPr>
          <w:rFonts w:hint="eastAsia"/>
          <w:lang w:val="en-US"/>
        </w:rPr>
        <w:t>8条</w:t>
      </w:r>
      <w:r>
        <w:rPr>
          <w:rFonts w:hint="eastAsia"/>
        </w:rPr>
        <w:t>河道</w:t>
      </w:r>
      <w:r>
        <w:rPr>
          <w:rFonts w:hint="eastAsia"/>
          <w:lang w:val="en-US"/>
        </w:rPr>
        <w:t>水域、陆域</w:t>
      </w:r>
      <w:r>
        <w:t>保洁</w:t>
      </w:r>
      <w:r>
        <w:rPr>
          <w:rFonts w:hint="eastAsia"/>
        </w:rPr>
        <w:t>；</w:t>
      </w:r>
    </w:p>
    <w:p>
      <w:pPr>
        <w:pStyle w:val="2"/>
        <w:spacing w:after="0" w:line="360" w:lineRule="auto"/>
        <w:ind w:left="0" w:firstLine="480" w:firstLineChars="200"/>
        <w:jc w:val="both"/>
      </w:pPr>
      <w:r>
        <w:rPr>
          <w:rFonts w:hint="eastAsia"/>
        </w:rPr>
        <w:t>（</w:t>
      </w:r>
      <w:r>
        <w:t>3</w:t>
      </w:r>
      <w:r>
        <w:rPr>
          <w:rFonts w:hint="eastAsia"/>
        </w:rPr>
        <w:t>）</w:t>
      </w:r>
      <w:r>
        <w:rPr>
          <w:rFonts w:hint="eastAsia"/>
          <w:lang w:val="en-US"/>
        </w:rPr>
        <w:t>2座</w:t>
      </w:r>
      <w:r>
        <w:rPr>
          <w:rFonts w:hint="eastAsia"/>
        </w:rPr>
        <w:t>水库与</w:t>
      </w:r>
      <w:r>
        <w:rPr>
          <w:rFonts w:hint="eastAsia"/>
          <w:lang w:val="en-US"/>
        </w:rPr>
        <w:t>8条</w:t>
      </w:r>
      <w:r>
        <w:rPr>
          <w:rFonts w:hint="eastAsia"/>
        </w:rPr>
        <w:t>河道的</w:t>
      </w:r>
      <w:r>
        <w:t>绿化养护</w:t>
      </w:r>
      <w:r>
        <w:rPr>
          <w:rFonts w:hint="eastAsia"/>
        </w:rPr>
        <w:t>；</w:t>
      </w:r>
    </w:p>
    <w:p>
      <w:pPr>
        <w:pStyle w:val="2"/>
        <w:spacing w:after="0" w:line="360" w:lineRule="auto"/>
        <w:ind w:left="0" w:firstLine="480" w:firstLineChars="200"/>
        <w:jc w:val="both"/>
      </w:pPr>
      <w:r>
        <w:rPr>
          <w:rFonts w:hint="eastAsia"/>
        </w:rPr>
        <w:t>（</w:t>
      </w:r>
      <w:r>
        <w:t>4</w:t>
      </w:r>
      <w:r>
        <w:rPr>
          <w:rFonts w:hint="eastAsia"/>
        </w:rPr>
        <w:t>）</w:t>
      </w:r>
      <w:r>
        <w:rPr>
          <w:rFonts w:hint="eastAsia"/>
          <w:lang w:val="en-US"/>
        </w:rPr>
        <w:t>2座水库的大坝、溢洪道、输水涵管、防汛道路等工程设施和闸门、启闭机、机电设备等设备设施（含金属设备）运行养护、损毁修复；8条河道陂头、水闸等设备设施（含金属设备）养护、损毁修复</w:t>
      </w:r>
      <w:r>
        <w:rPr>
          <w:rFonts w:hint="eastAsia"/>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第二条</w:t>
      </w:r>
      <w:r>
        <w:rPr>
          <w:rFonts w:hint="eastAsia" w:ascii="黑体" w:hAnsi="黑体" w:eastAsia="黑体"/>
          <w:b/>
          <w:sz w:val="28"/>
          <w:lang w:eastAsia="zh-CN"/>
        </w:rPr>
        <w:t xml:space="preserve"> </w:t>
      </w:r>
      <w:r>
        <w:rPr>
          <w:rFonts w:ascii="黑体" w:hAnsi="黑体" w:eastAsia="黑体"/>
          <w:b/>
          <w:sz w:val="28"/>
          <w:lang w:eastAsia="zh-CN"/>
        </w:rPr>
        <w:t>合同期限</w:t>
      </w:r>
    </w:p>
    <w:p>
      <w:pPr>
        <w:pStyle w:val="2"/>
        <w:spacing w:after="0" w:line="360" w:lineRule="auto"/>
        <w:ind w:left="0"/>
        <w:jc w:val="both"/>
        <w:rPr>
          <w:shd w:val="solid" w:color="FFFFFF" w:fill="auto"/>
          <w:lang w:val="en-US"/>
        </w:rPr>
      </w:pPr>
      <w:r>
        <w:rPr>
          <w:rFonts w:hint="eastAsia"/>
          <w:shd w:val="solid" w:color="FFFFFF" w:fill="auto"/>
          <w:lang w:val="en-US"/>
        </w:rPr>
        <w:t>1、服务期限</w:t>
      </w:r>
    </w:p>
    <w:p>
      <w:pPr>
        <w:pStyle w:val="2"/>
        <w:spacing w:after="0" w:line="360" w:lineRule="auto"/>
        <w:ind w:left="0" w:firstLine="480" w:firstLineChars="200"/>
        <w:jc w:val="both"/>
      </w:pPr>
      <w:r>
        <w:rPr>
          <w:rFonts w:hint="eastAsia"/>
          <w:shd w:val="solid" w:color="FFFFFF" w:fill="auto"/>
        </w:rPr>
        <w:t>本项目合同期为自合同签订之日日起至20</w:t>
      </w:r>
      <w:r>
        <w:rPr>
          <w:rFonts w:hint="eastAsia"/>
          <w:shd w:val="solid" w:color="FFFFFF" w:fill="auto"/>
          <w:lang w:val="en-US"/>
        </w:rPr>
        <w:t>23</w:t>
      </w:r>
      <w:r>
        <w:rPr>
          <w:rFonts w:hint="eastAsia"/>
          <w:shd w:val="solid" w:color="FFFFFF" w:fill="auto"/>
        </w:rPr>
        <w:t>年</w:t>
      </w:r>
      <w:r>
        <w:rPr>
          <w:rFonts w:hint="eastAsia"/>
          <w:shd w:val="solid" w:color="FFFFFF" w:fill="auto"/>
          <w:lang w:val="en-US"/>
        </w:rPr>
        <w:t>1</w:t>
      </w:r>
      <w:r>
        <w:rPr>
          <w:rFonts w:hint="eastAsia"/>
          <w:shd w:val="solid" w:color="FFFFFF" w:fill="auto"/>
        </w:rPr>
        <w:t>月</w:t>
      </w:r>
      <w:r>
        <w:rPr>
          <w:rFonts w:hint="eastAsia"/>
          <w:shd w:val="solid" w:color="FFFFFF" w:fill="auto"/>
          <w:lang w:val="en-US"/>
        </w:rPr>
        <w:t>31</w:t>
      </w:r>
      <w:r>
        <w:rPr>
          <w:rFonts w:hint="eastAsia"/>
          <w:shd w:val="solid" w:color="FFFFFF" w:fill="auto"/>
        </w:rPr>
        <w:t>日。</w:t>
      </w:r>
    </w:p>
    <w:p>
      <w:pPr>
        <w:pStyle w:val="2"/>
        <w:spacing w:after="0" w:line="360" w:lineRule="auto"/>
        <w:ind w:left="0"/>
        <w:jc w:val="both"/>
        <w:rPr>
          <w:lang w:val="en-US"/>
        </w:rPr>
      </w:pPr>
      <w:r>
        <w:rPr>
          <w:rFonts w:hint="eastAsia"/>
          <w:lang w:val="en-US"/>
        </w:rPr>
        <w:t>2、续签条款</w:t>
      </w:r>
    </w:p>
    <w:p>
      <w:pPr>
        <w:pStyle w:val="2"/>
        <w:spacing w:after="0" w:line="360" w:lineRule="auto"/>
        <w:ind w:left="0" w:firstLine="480" w:firstLineChars="200"/>
        <w:jc w:val="both"/>
        <w:rPr>
          <w:szCs w:val="21"/>
          <w:highlight w:val="yellow"/>
          <w:u w:val="single"/>
          <w:lang w:val="en-US"/>
        </w:rPr>
      </w:pPr>
      <w:r>
        <w:rPr>
          <w:rFonts w:hint="eastAsia"/>
          <w:szCs w:val="21"/>
          <w:highlight w:val="yellow"/>
          <w:u w:val="single"/>
          <w:lang w:val="en-US"/>
        </w:rPr>
        <w:t>本项目服务期限分三期：第一期为10个月（自合同签订之日至2023年1月31日，合同实际开始时间以中标通知书发放为准）；第二期为一年（2023年2月1日至2024年1月31日）；第三期为一年（2024年2月1日至2025年1月31日）。本项目在深汕特别合作区继续委托我公司开展河湖管养工作的前提下可续签，本项目合同期满后，甲方可根据实际情况及乙方履约情况确定合同期限是否延长或续签，合同第一年为本次招标的中标服务期限，一年一签，最多续签2次，最长不超过34个月。甲方可根据实际情况终止合同，并不再续签。合同项目提前终止时，按照实际工程量支付费用，甲方不负任何补偿责任。</w:t>
      </w:r>
    </w:p>
    <w:p>
      <w:pPr>
        <w:spacing w:before="312" w:beforeLines="100" w:after="240"/>
        <w:jc w:val="both"/>
        <w:outlineLvl w:val="0"/>
        <w:rPr>
          <w:rFonts w:ascii="宋体" w:hAnsi="宋体" w:cs="宋体"/>
          <w:sz w:val="24"/>
          <w:szCs w:val="24"/>
          <w:lang w:val="zh-CN" w:eastAsia="zh-CN" w:bidi="zh-CN"/>
        </w:rPr>
      </w:pPr>
      <w:r>
        <w:rPr>
          <w:rFonts w:ascii="黑体" w:hAnsi="黑体" w:eastAsia="黑体"/>
          <w:b/>
          <w:sz w:val="28"/>
          <w:lang w:eastAsia="zh-CN"/>
        </w:rPr>
        <w:t>第三条</w:t>
      </w:r>
      <w:r>
        <w:rPr>
          <w:rFonts w:hint="eastAsia" w:ascii="黑体" w:hAnsi="黑体" w:eastAsia="黑体"/>
          <w:b/>
          <w:sz w:val="28"/>
          <w:lang w:eastAsia="zh-CN"/>
        </w:rPr>
        <w:t xml:space="preserve"> </w:t>
      </w:r>
      <w:r>
        <w:rPr>
          <w:rFonts w:ascii="黑体" w:hAnsi="黑体" w:eastAsia="黑体"/>
          <w:b/>
          <w:sz w:val="28"/>
          <w:lang w:eastAsia="zh-CN"/>
        </w:rPr>
        <w:t>合同价款</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本合同为</w:t>
      </w:r>
      <w:r>
        <w:rPr>
          <w:rFonts w:ascii="宋体" w:hAnsi="宋体"/>
          <w:highlight w:val="cyan"/>
          <w:lang w:eastAsia="zh-CN"/>
        </w:rPr>
        <w:t>总价包干</w:t>
      </w:r>
      <w:r>
        <w:rPr>
          <w:rFonts w:hint="eastAsia" w:ascii="宋体" w:hAnsi="宋体" w:cs="宋体"/>
          <w:sz w:val="24"/>
          <w:szCs w:val="24"/>
          <w:lang w:val="zh-CN" w:eastAsia="zh-CN" w:bidi="zh-CN"/>
        </w:rPr>
        <w:t>。</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币种：人民币</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合同暂定价款（大写）：</w:t>
      </w:r>
      <w:r>
        <w:rPr>
          <w:rFonts w:hint="eastAsia" w:ascii="宋体" w:hAnsi="宋体" w:cs="宋体"/>
          <w:sz w:val="24"/>
          <w:szCs w:val="24"/>
          <w:u w:val="single"/>
          <w:lang w:eastAsia="zh-CN" w:bidi="zh-CN"/>
        </w:rPr>
        <w:t xml:space="preserve"> XX </w:t>
      </w:r>
      <w:r>
        <w:rPr>
          <w:rFonts w:hint="eastAsia" w:ascii="宋体" w:hAnsi="宋体" w:cs="宋体"/>
          <w:sz w:val="24"/>
          <w:szCs w:val="24"/>
          <w:lang w:val="zh-CN" w:eastAsia="zh-CN" w:bidi="zh-CN"/>
        </w:rPr>
        <w:t>（小写）：¥</w:t>
      </w:r>
      <w:r>
        <w:rPr>
          <w:rFonts w:hint="eastAsia" w:ascii="宋体" w:hAnsi="宋体" w:cs="宋体"/>
          <w:sz w:val="24"/>
          <w:szCs w:val="24"/>
          <w:u w:val="single"/>
          <w:lang w:eastAsia="zh-CN" w:bidi="zh-CN"/>
        </w:rPr>
        <w:t xml:space="preserve">  XX  </w:t>
      </w:r>
      <w:r>
        <w:rPr>
          <w:rFonts w:hint="eastAsia" w:ascii="宋体" w:hAnsi="宋体" w:cs="宋体"/>
          <w:sz w:val="24"/>
          <w:szCs w:val="24"/>
          <w:u w:val="single"/>
          <w:lang w:val="zh-CN" w:eastAsia="zh-CN" w:bidi="zh-CN"/>
        </w:rPr>
        <w:t>元，</w:t>
      </w:r>
      <w:r>
        <w:rPr>
          <w:rFonts w:hint="eastAsia" w:ascii="宋体" w:hAnsi="宋体" w:cs="宋体"/>
          <w:sz w:val="24"/>
          <w:szCs w:val="24"/>
          <w:lang w:val="zh-CN" w:eastAsia="zh-CN" w:bidi="zh-CN"/>
        </w:rPr>
        <w:t>最终价按照考核结果进行支付。</w:t>
      </w:r>
    </w:p>
    <w:p>
      <w:pPr>
        <w:spacing w:after="0" w:line="360" w:lineRule="auto"/>
        <w:ind w:firstLine="480" w:firstLineChars="200"/>
        <w:jc w:val="both"/>
        <w:rPr>
          <w:rFonts w:ascii="宋体" w:hAnsi="宋体" w:cs="宋体"/>
          <w:sz w:val="24"/>
          <w:szCs w:val="24"/>
          <w:lang w:val="zh-CN" w:eastAsia="zh-CN" w:bidi="zh-CN"/>
        </w:rPr>
      </w:pP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附表：深圳市深汕合作区水库、河道管养劳务外包项目</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2022至2023年度</w:t>
      </w:r>
      <w:r>
        <w:rPr>
          <w:rFonts w:hint="eastAsia" w:ascii="宋体" w:hAnsi="宋体" w:cs="宋体"/>
          <w:sz w:val="24"/>
          <w:szCs w:val="24"/>
          <w:lang w:val="zh-CN" w:eastAsia="zh-CN" w:bidi="zh-CN"/>
        </w:rPr>
        <w:t>）（</w:t>
      </w:r>
      <w:r>
        <w:rPr>
          <w:rFonts w:hint="eastAsia" w:ascii="宋体" w:hAnsi="宋体" w:cs="宋体"/>
          <w:sz w:val="24"/>
          <w:szCs w:val="24"/>
          <w:lang w:eastAsia="zh-CN" w:bidi="zh-CN"/>
        </w:rPr>
        <w:t>二</w:t>
      </w:r>
      <w:r>
        <w:rPr>
          <w:rFonts w:hint="eastAsia" w:ascii="宋体" w:hAnsi="宋体" w:cs="宋体"/>
          <w:sz w:val="24"/>
          <w:szCs w:val="24"/>
          <w:lang w:val="zh-CN" w:eastAsia="zh-CN" w:bidi="zh-CN"/>
        </w:rPr>
        <w:t>标段）</w:t>
      </w:r>
      <w:r>
        <w:rPr>
          <w:rFonts w:hint="eastAsia" w:ascii="宋体" w:hAnsi="宋体" w:cs="宋体"/>
          <w:sz w:val="24"/>
          <w:szCs w:val="24"/>
          <w:lang w:eastAsia="zh-CN" w:bidi="zh-CN"/>
        </w:rPr>
        <w:t>金额</w:t>
      </w:r>
      <w:r>
        <w:rPr>
          <w:rFonts w:hint="eastAsia" w:ascii="宋体" w:hAnsi="宋体" w:cs="宋体"/>
          <w:sz w:val="24"/>
          <w:szCs w:val="24"/>
          <w:lang w:val="zh-CN" w:eastAsia="zh-CN" w:bidi="zh-CN"/>
        </w:rPr>
        <w:t>组成明细</w:t>
      </w:r>
    </w:p>
    <w:tbl>
      <w:tblPr>
        <w:tblStyle w:val="20"/>
        <w:tblW w:w="7520" w:type="dxa"/>
        <w:jc w:val="center"/>
        <w:tblLayout w:type="autofit"/>
        <w:tblCellMar>
          <w:top w:w="0" w:type="dxa"/>
          <w:left w:w="108" w:type="dxa"/>
          <w:bottom w:w="0" w:type="dxa"/>
          <w:right w:w="108" w:type="dxa"/>
        </w:tblCellMar>
      </w:tblPr>
      <w:tblGrid>
        <w:gridCol w:w="2160"/>
        <w:gridCol w:w="1480"/>
        <w:gridCol w:w="1940"/>
        <w:gridCol w:w="1940"/>
      </w:tblGrid>
      <w:tr>
        <w:tblPrEx>
          <w:tblCellMar>
            <w:top w:w="0" w:type="dxa"/>
            <w:left w:w="108" w:type="dxa"/>
            <w:bottom w:w="0" w:type="dxa"/>
            <w:right w:w="108" w:type="dxa"/>
          </w:tblCellMar>
        </w:tblPrEx>
        <w:trPr>
          <w:trHeight w:val="501" w:hRule="atLeast"/>
          <w:jc w:val="center"/>
        </w:trPr>
        <w:tc>
          <w:tcPr>
            <w:tcW w:w="2160" w:type="dxa"/>
            <w:tcBorders>
              <w:top w:val="single" w:color="auto" w:sz="4" w:space="0"/>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标段</w:t>
            </w:r>
          </w:p>
        </w:tc>
        <w:tc>
          <w:tcPr>
            <w:tcW w:w="148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类别</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名称</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金额（元）</w:t>
            </w:r>
          </w:p>
        </w:tc>
      </w:tr>
      <w:tr>
        <w:tblPrEx>
          <w:tblCellMar>
            <w:top w:w="0" w:type="dxa"/>
            <w:left w:w="108" w:type="dxa"/>
            <w:bottom w:w="0" w:type="dxa"/>
            <w:right w:w="108" w:type="dxa"/>
          </w:tblCellMar>
        </w:tblPrEx>
        <w:trPr>
          <w:trHeight w:val="501" w:hRule="atLeast"/>
          <w:jc w:val="center"/>
        </w:trPr>
        <w:tc>
          <w:tcPr>
            <w:tcW w:w="2160"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二标段</w:t>
            </w:r>
          </w:p>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XX公司</w:t>
            </w:r>
          </w:p>
        </w:tc>
        <w:tc>
          <w:tcPr>
            <w:tcW w:w="1480" w:type="dxa"/>
            <w:vMerge w:val="restart"/>
            <w:tcBorders>
              <w:top w:val="nil"/>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shd w:val="solid" w:color="FFFFFF" w:fill="auto"/>
                <w:lang w:eastAsia="zh-CN"/>
              </w:rPr>
              <w:t>嘉田</w:t>
            </w:r>
            <w:r>
              <w:rPr>
                <w:rFonts w:hint="eastAsia"/>
                <w:shd w:val="solid" w:color="FFFFFF" w:fill="auto"/>
              </w:rPr>
              <w:t>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shd w:val="solid" w:color="FFFFFF" w:fill="auto"/>
                <w:lang w:eastAsia="zh-CN"/>
              </w:rPr>
              <w:t>马老山水库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360" w:lineRule="auto"/>
              <w:ind w:firstLine="562" w:firstLineChars="200"/>
              <w:rPr>
                <w:rFonts w:ascii="黑体" w:hAnsi="黑体" w:eastAsia="黑体"/>
                <w:b/>
                <w:sz w:val="28"/>
                <w:szCs w:val="24"/>
                <w:lang w:eastAsia="zh-CN"/>
              </w:rPr>
            </w:pPr>
            <w:r>
              <w:rPr>
                <w:rFonts w:hint="eastAsia" w:ascii="黑体" w:hAnsi="黑体" w:eastAsia="黑体"/>
                <w:b/>
                <w:sz w:val="28"/>
                <w:szCs w:val="24"/>
                <w:lang w:eastAsia="zh-CN"/>
              </w:rPr>
              <w:t xml:space="preserve">     </w:t>
            </w: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河道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下北水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南门河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鹅仔下河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路径坑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新屋水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田寮河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双坑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长岭坑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合计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bl>
    <w:p>
      <w:pPr>
        <w:spacing w:after="0" w:line="360" w:lineRule="auto"/>
        <w:ind w:firstLine="480" w:firstLineChars="200"/>
        <w:jc w:val="both"/>
        <w:rPr>
          <w:rFonts w:ascii="宋体" w:hAnsi="宋体" w:cs="宋体"/>
          <w:sz w:val="24"/>
          <w:szCs w:val="24"/>
          <w:lang w:val="zh-CN" w:eastAsia="zh-CN" w:bidi="zh-CN"/>
        </w:rPr>
      </w:pPr>
    </w:p>
    <w:p>
      <w:pPr>
        <w:spacing w:after="0" w:line="360" w:lineRule="auto"/>
        <w:ind w:firstLine="562" w:firstLineChars="200"/>
        <w:jc w:val="both"/>
        <w:rPr>
          <w:rFonts w:ascii="黑体" w:hAnsi="黑体" w:eastAsia="黑体"/>
          <w:b/>
          <w:sz w:val="28"/>
          <w:lang w:eastAsia="zh-CN"/>
        </w:rPr>
      </w:pPr>
      <w:r>
        <w:rPr>
          <w:rFonts w:ascii="黑体" w:hAnsi="黑体" w:eastAsia="黑体"/>
          <w:b/>
          <w:sz w:val="28"/>
          <w:lang w:eastAsia="zh-CN"/>
        </w:rPr>
        <w:t>第四条</w:t>
      </w:r>
      <w:r>
        <w:rPr>
          <w:rFonts w:hint="eastAsia" w:ascii="黑体" w:hAnsi="黑体" w:eastAsia="黑体"/>
          <w:b/>
          <w:sz w:val="28"/>
          <w:lang w:eastAsia="zh-CN"/>
        </w:rPr>
        <w:t xml:space="preserve"> </w:t>
      </w:r>
      <w:r>
        <w:rPr>
          <w:rFonts w:ascii="黑体" w:hAnsi="黑体" w:eastAsia="黑体"/>
          <w:b/>
          <w:sz w:val="28"/>
          <w:lang w:eastAsia="zh-CN"/>
        </w:rPr>
        <w:t>付款方式</w:t>
      </w:r>
    </w:p>
    <w:p>
      <w:pPr>
        <w:jc w:val="both"/>
        <w:outlineLvl w:val="1"/>
        <w:rPr>
          <w:rFonts w:ascii="宋体" w:hAnsi="宋体"/>
          <w:b/>
          <w:bCs/>
          <w:sz w:val="24"/>
          <w:szCs w:val="24"/>
          <w:lang w:eastAsia="zh-CN"/>
        </w:rPr>
      </w:pPr>
      <w:r>
        <w:rPr>
          <w:rFonts w:hint="eastAsia" w:ascii="宋体" w:hAnsi="宋体"/>
          <w:b/>
          <w:bCs/>
          <w:sz w:val="24"/>
          <w:szCs w:val="24"/>
          <w:lang w:eastAsia="zh-CN"/>
        </w:rPr>
        <w:t>1、考核</w:t>
      </w:r>
    </w:p>
    <w:p>
      <w:pPr>
        <w:pStyle w:val="2"/>
        <w:spacing w:after="0" w:line="360" w:lineRule="auto"/>
        <w:ind w:left="0" w:firstLine="480" w:firstLineChars="200"/>
        <w:jc w:val="both"/>
        <w:rPr>
          <w:shd w:val="solid" w:color="FFFFFF" w:fill="auto"/>
        </w:rPr>
      </w:pPr>
      <w:r>
        <w:rPr>
          <w:rFonts w:hint="eastAsia"/>
          <w:shd w:val="solid" w:color="FFFFFF" w:fill="auto"/>
        </w:rPr>
        <w:t>由甲方对乙方的运行维护工作质量按季度和年度进行考核，考核结果将作为支付费用的依据。</w:t>
      </w:r>
    </w:p>
    <w:p>
      <w:pPr>
        <w:pStyle w:val="2"/>
        <w:spacing w:after="0" w:line="360" w:lineRule="auto"/>
        <w:ind w:left="0" w:firstLine="480" w:firstLineChars="200"/>
        <w:jc w:val="both"/>
        <w:rPr>
          <w:shd w:val="solid" w:color="FFFFFF" w:fill="auto"/>
        </w:rPr>
      </w:pPr>
      <w:r>
        <w:rPr>
          <w:rFonts w:hint="eastAsia"/>
          <w:shd w:val="solid" w:color="FFFFFF" w:fill="auto"/>
        </w:rPr>
        <w:t>（1）季度考核</w:t>
      </w:r>
    </w:p>
    <w:p>
      <w:pPr>
        <w:pStyle w:val="2"/>
        <w:spacing w:after="0" w:line="360" w:lineRule="auto"/>
        <w:ind w:left="0" w:firstLine="480" w:firstLineChars="200"/>
        <w:jc w:val="both"/>
        <w:rPr>
          <w:shd w:val="solid" w:color="FFFFFF" w:fill="auto"/>
        </w:rPr>
      </w:pPr>
      <w:r>
        <w:rPr>
          <w:rFonts w:hint="eastAsia"/>
          <w:shd w:val="solid" w:color="FFFFFF" w:fill="auto"/>
        </w:rPr>
        <w:t>季度考核按照考核细则实行单项扣分扣款和单项奖分奖款组成，季度工作实施过程中按照考核细则，记录出现需扣分、扣款和奖分、奖款事件，扣分</w:t>
      </w:r>
      <w:r>
        <w:rPr>
          <w:rFonts w:hint="eastAsia"/>
          <w:shd w:val="solid" w:color="FFFFFF" w:fill="auto"/>
          <w:lang w:val="en-US"/>
        </w:rPr>
        <w:t>或</w:t>
      </w:r>
      <w:r>
        <w:rPr>
          <w:rFonts w:hint="eastAsia"/>
          <w:shd w:val="solid" w:color="FFFFFF" w:fill="auto"/>
        </w:rPr>
        <w:t>奖分情况从当季度考核分中扣除</w:t>
      </w:r>
      <w:r>
        <w:rPr>
          <w:rFonts w:hint="eastAsia"/>
          <w:shd w:val="solid" w:color="FFFFFF" w:fill="auto"/>
          <w:lang w:val="en-US"/>
        </w:rPr>
        <w:t>或增加</w:t>
      </w:r>
      <w:r>
        <w:rPr>
          <w:rFonts w:hint="eastAsia"/>
          <w:shd w:val="solid" w:color="FFFFFF" w:fill="auto"/>
        </w:rPr>
        <w:t>，扣款</w:t>
      </w:r>
      <w:r>
        <w:rPr>
          <w:rFonts w:hint="eastAsia"/>
          <w:shd w:val="solid" w:color="FFFFFF" w:fill="auto"/>
          <w:lang w:val="en-US"/>
        </w:rPr>
        <w:t>或</w:t>
      </w:r>
      <w:r>
        <w:rPr>
          <w:rFonts w:hint="eastAsia"/>
          <w:shd w:val="solid" w:color="FFFFFF" w:fill="auto"/>
        </w:rPr>
        <w:t>奖款</w:t>
      </w:r>
      <w:r>
        <w:rPr>
          <w:rFonts w:hint="eastAsia"/>
          <w:shd w:val="solid" w:color="FFFFFF" w:fill="auto"/>
          <w:lang w:val="en-US"/>
        </w:rPr>
        <w:t>计入当季度扣款、奖款事项，在下次支付费用时一并扣除或增加</w:t>
      </w:r>
      <w:r>
        <w:rPr>
          <w:rFonts w:hint="eastAsia"/>
          <w:shd w:val="solid" w:color="FFFFFF" w:fill="auto"/>
        </w:rPr>
        <w:t>。</w:t>
      </w:r>
    </w:p>
    <w:p>
      <w:pPr>
        <w:pStyle w:val="2"/>
        <w:spacing w:after="0" w:line="360" w:lineRule="auto"/>
        <w:ind w:left="0" w:firstLine="480" w:firstLineChars="200"/>
        <w:jc w:val="both"/>
        <w:rPr>
          <w:shd w:val="solid" w:color="FFFFFF" w:fill="auto"/>
        </w:rPr>
      </w:pPr>
      <w:r>
        <w:rPr>
          <w:rFonts w:hint="eastAsia"/>
          <w:shd w:val="solid" w:color="FFFFFF" w:fill="auto"/>
        </w:rPr>
        <w:t>（2）年度考核</w:t>
      </w:r>
    </w:p>
    <w:p>
      <w:pPr>
        <w:pStyle w:val="2"/>
        <w:spacing w:after="0" w:line="360" w:lineRule="auto"/>
        <w:ind w:left="0" w:firstLine="480" w:firstLineChars="200"/>
        <w:jc w:val="both"/>
        <w:rPr>
          <w:shd w:val="solid" w:color="FFFFFF" w:fill="auto"/>
        </w:rPr>
      </w:pPr>
      <w:r>
        <w:rPr>
          <w:rFonts w:hint="eastAsia"/>
          <w:shd w:val="solid" w:color="FFFFFF" w:fill="auto"/>
        </w:rPr>
        <w:t>1）年度考核总分由季度考核分（占40%）和年终考核分（占60%）按比例构成，考核评定结果分优秀、</w:t>
      </w:r>
      <w:r>
        <w:rPr>
          <w:rFonts w:hint="eastAsia"/>
          <w:shd w:val="solid" w:color="FFFFFF" w:fill="auto"/>
          <w:lang w:val="en-US"/>
        </w:rPr>
        <w:t>良好、</w:t>
      </w:r>
      <w:r>
        <w:rPr>
          <w:rFonts w:hint="eastAsia"/>
          <w:shd w:val="solid" w:color="FFFFFF" w:fill="auto"/>
        </w:rPr>
        <w:t>合格和不合格，考核结果作为尾款支付依据，运用方式如下：</w:t>
      </w:r>
    </w:p>
    <w:p>
      <w:pPr>
        <w:pStyle w:val="2"/>
        <w:spacing w:after="0" w:line="360" w:lineRule="auto"/>
        <w:ind w:left="0" w:firstLine="480" w:firstLineChars="200"/>
        <w:jc w:val="both"/>
        <w:rPr>
          <w:shd w:val="solid" w:color="FFFFFF" w:fill="auto"/>
        </w:rPr>
      </w:pPr>
      <w:r>
        <w:rPr>
          <w:rFonts w:hint="eastAsia"/>
          <w:shd w:val="solid" w:color="FFFFFF" w:fill="auto"/>
        </w:rPr>
        <w:t>①考核结果为优秀（100—</w:t>
      </w:r>
      <w:r>
        <w:rPr>
          <w:rFonts w:hint="eastAsia"/>
          <w:shd w:val="solid" w:color="FFFFFF" w:fill="auto"/>
          <w:lang w:val="en-US"/>
        </w:rPr>
        <w:t>90</w:t>
      </w:r>
      <w:r>
        <w:rPr>
          <w:rFonts w:hint="eastAsia"/>
          <w:shd w:val="solid" w:color="FFFFFF" w:fill="auto"/>
        </w:rPr>
        <w:t>分）,支付100%款项；</w:t>
      </w:r>
    </w:p>
    <w:p>
      <w:pPr>
        <w:pStyle w:val="2"/>
        <w:spacing w:after="0" w:line="360" w:lineRule="auto"/>
        <w:ind w:left="0" w:firstLine="480" w:firstLineChars="200"/>
        <w:jc w:val="both"/>
        <w:rPr>
          <w:shd w:val="solid" w:color="FFFFFF" w:fill="auto"/>
        </w:rPr>
      </w:pPr>
      <w:r>
        <w:rPr>
          <w:rFonts w:hint="eastAsia"/>
          <w:shd w:val="solid" w:color="FFFFFF" w:fill="auto"/>
        </w:rPr>
        <w:t>②考核结果为</w:t>
      </w:r>
      <w:r>
        <w:rPr>
          <w:rFonts w:hint="eastAsia"/>
          <w:shd w:val="solid" w:color="FFFFFF" w:fill="auto"/>
          <w:lang w:val="en-US"/>
        </w:rPr>
        <w:t>良好</w:t>
      </w:r>
      <w:r>
        <w:rPr>
          <w:rFonts w:hint="eastAsia"/>
          <w:shd w:val="solid" w:color="FFFFFF" w:fill="auto"/>
        </w:rPr>
        <w:t>（</w:t>
      </w:r>
      <w:r>
        <w:rPr>
          <w:rFonts w:hint="eastAsia"/>
          <w:shd w:val="solid" w:color="FFFFFF" w:fill="auto"/>
          <w:lang w:val="en-US"/>
        </w:rPr>
        <w:t>9</w:t>
      </w:r>
      <w:r>
        <w:rPr>
          <w:shd w:val="solid" w:color="FFFFFF" w:fill="auto"/>
        </w:rPr>
        <w:t>0</w:t>
      </w:r>
      <w:r>
        <w:rPr>
          <w:rFonts w:hint="eastAsia"/>
          <w:shd w:val="solid" w:color="FFFFFF" w:fill="auto"/>
        </w:rPr>
        <w:t>—</w:t>
      </w:r>
      <w:r>
        <w:rPr>
          <w:rFonts w:hint="eastAsia"/>
          <w:shd w:val="solid" w:color="FFFFFF" w:fill="auto"/>
          <w:lang w:val="en-US"/>
        </w:rPr>
        <w:t>8</w:t>
      </w:r>
      <w:r>
        <w:rPr>
          <w:shd w:val="solid" w:color="FFFFFF" w:fill="auto"/>
        </w:rPr>
        <w:t>0</w:t>
      </w:r>
      <w:r>
        <w:rPr>
          <w:rFonts w:hint="eastAsia"/>
          <w:shd w:val="solid" w:color="FFFFFF" w:fill="auto"/>
        </w:rPr>
        <w:t>分，</w:t>
      </w:r>
      <w:r>
        <w:rPr>
          <w:rFonts w:hint="eastAsia"/>
          <w:shd w:val="solid" w:color="FFFFFF" w:fill="auto"/>
          <w:lang w:val="en-US"/>
        </w:rPr>
        <w:t>不包</w:t>
      </w:r>
      <w:r>
        <w:rPr>
          <w:rFonts w:hint="eastAsia"/>
          <w:shd w:val="solid" w:color="FFFFFF" w:fill="auto"/>
        </w:rPr>
        <w:t>含</w:t>
      </w:r>
      <w:r>
        <w:rPr>
          <w:rFonts w:hint="eastAsia"/>
          <w:shd w:val="solid" w:color="FFFFFF" w:fill="auto"/>
          <w:lang w:val="en-US"/>
        </w:rPr>
        <w:t>9</w:t>
      </w:r>
      <w:r>
        <w:rPr>
          <w:shd w:val="solid" w:color="FFFFFF" w:fill="auto"/>
        </w:rPr>
        <w:t>0</w:t>
      </w:r>
      <w:r>
        <w:rPr>
          <w:rFonts w:hint="eastAsia"/>
          <w:shd w:val="solid" w:color="FFFFFF" w:fill="auto"/>
        </w:rPr>
        <w:t>分），支付</w:t>
      </w:r>
      <w:r>
        <w:rPr>
          <w:rFonts w:hint="eastAsia"/>
          <w:shd w:val="solid" w:color="FFFFFF" w:fill="auto"/>
          <w:lang w:val="en-US"/>
        </w:rPr>
        <w:t>95</w:t>
      </w:r>
      <w:r>
        <w:rPr>
          <w:rFonts w:hint="eastAsia"/>
          <w:shd w:val="solid" w:color="FFFFFF" w:fill="auto"/>
        </w:rPr>
        <w:t>%款项；</w:t>
      </w:r>
    </w:p>
    <w:p>
      <w:pPr>
        <w:pStyle w:val="2"/>
        <w:spacing w:after="0" w:line="360" w:lineRule="auto"/>
        <w:ind w:left="0" w:firstLine="480" w:firstLineChars="200"/>
        <w:jc w:val="both"/>
        <w:rPr>
          <w:shd w:val="solid" w:color="FFFFFF" w:fill="auto"/>
          <w:lang w:val="en-US"/>
        </w:rPr>
      </w:pPr>
      <w:r>
        <w:rPr>
          <w:rFonts w:hint="eastAsia"/>
          <w:shd w:val="solid" w:color="FFFFFF" w:fill="auto"/>
        </w:rPr>
        <w:t>③考核结果为合格（</w:t>
      </w:r>
      <w:r>
        <w:rPr>
          <w:rFonts w:hint="eastAsia"/>
          <w:shd w:val="solid" w:color="FFFFFF" w:fill="auto"/>
          <w:lang w:val="en-US"/>
        </w:rPr>
        <w:t>80</w:t>
      </w:r>
      <w:r>
        <w:rPr>
          <w:rFonts w:hint="eastAsia"/>
          <w:shd w:val="solid" w:color="FFFFFF" w:fill="auto"/>
        </w:rPr>
        <w:t>—</w:t>
      </w:r>
      <w:r>
        <w:rPr>
          <w:rFonts w:hint="eastAsia"/>
          <w:shd w:val="solid" w:color="FFFFFF" w:fill="auto"/>
          <w:lang w:val="en-US"/>
        </w:rPr>
        <w:t>60</w:t>
      </w:r>
      <w:r>
        <w:rPr>
          <w:rFonts w:hint="eastAsia"/>
          <w:shd w:val="solid" w:color="FFFFFF" w:fill="auto"/>
        </w:rPr>
        <w:t>分，</w:t>
      </w:r>
      <w:r>
        <w:rPr>
          <w:rFonts w:hint="eastAsia"/>
          <w:shd w:val="solid" w:color="FFFFFF" w:fill="auto"/>
          <w:lang w:val="en-US"/>
        </w:rPr>
        <w:t>不包含80分</w:t>
      </w:r>
      <w:r>
        <w:rPr>
          <w:rFonts w:hint="eastAsia"/>
          <w:shd w:val="solid" w:color="FFFFFF" w:fill="auto"/>
        </w:rPr>
        <w:t>），</w:t>
      </w:r>
      <w:r>
        <w:rPr>
          <w:rFonts w:hint="eastAsia"/>
          <w:shd w:val="solid" w:color="FFFFFF" w:fill="auto"/>
          <w:lang w:val="en-US"/>
        </w:rPr>
        <w:t>支付90%款项；</w:t>
      </w:r>
    </w:p>
    <w:p>
      <w:pPr>
        <w:pStyle w:val="2"/>
        <w:spacing w:after="0" w:line="360" w:lineRule="auto"/>
        <w:ind w:left="0" w:firstLine="480" w:firstLineChars="200"/>
        <w:jc w:val="both"/>
        <w:rPr>
          <w:shd w:val="solid" w:color="FFFFFF" w:fill="auto"/>
        </w:rPr>
      </w:pPr>
      <w:r>
        <w:rPr>
          <w:rFonts w:hint="eastAsia"/>
          <w:shd w:val="solid" w:color="FFFFFF" w:fill="auto"/>
          <w:lang w:val="en-US"/>
        </w:rPr>
        <w:t>④考核结果为不合格（60分以下，不包含60分），</w:t>
      </w:r>
      <w:r>
        <w:rPr>
          <w:rFonts w:hint="eastAsia"/>
          <w:shd w:val="solid" w:color="FFFFFF" w:fill="auto"/>
        </w:rPr>
        <w:t>履约评价为不合格，</w:t>
      </w:r>
      <w:r>
        <w:rPr>
          <w:rFonts w:hint="eastAsia"/>
          <w:shd w:val="solid" w:color="FFFFFF" w:fill="auto"/>
          <w:lang w:val="en-US"/>
        </w:rPr>
        <w:t>按照实际发生的工程量结算并不续签合同</w:t>
      </w:r>
      <w:r>
        <w:rPr>
          <w:rFonts w:hint="eastAsia"/>
          <w:shd w:val="solid" w:color="FFFFFF" w:fill="auto"/>
        </w:rPr>
        <w:t>。</w:t>
      </w:r>
    </w:p>
    <w:p>
      <w:pPr>
        <w:pStyle w:val="2"/>
        <w:spacing w:after="0" w:line="360" w:lineRule="auto"/>
        <w:ind w:left="0" w:firstLine="480" w:firstLineChars="200"/>
        <w:jc w:val="both"/>
        <w:rPr>
          <w:shd w:val="solid" w:color="FFFFFF" w:fill="auto"/>
        </w:rPr>
      </w:pPr>
    </w:p>
    <w:p>
      <w:pPr>
        <w:jc w:val="both"/>
        <w:outlineLvl w:val="1"/>
        <w:rPr>
          <w:rFonts w:ascii="宋体" w:hAnsi="宋体"/>
          <w:b/>
          <w:bCs/>
          <w:sz w:val="24"/>
          <w:szCs w:val="24"/>
          <w:lang w:eastAsia="zh-CN"/>
        </w:rPr>
      </w:pPr>
      <w:r>
        <w:rPr>
          <w:rFonts w:hint="eastAsia" w:ascii="宋体" w:hAnsi="宋体"/>
          <w:b/>
          <w:bCs/>
          <w:sz w:val="24"/>
          <w:szCs w:val="24"/>
          <w:lang w:eastAsia="zh-CN"/>
        </w:rPr>
        <w:t>2、支付</w:t>
      </w:r>
    </w:p>
    <w:p>
      <w:pPr>
        <w:pStyle w:val="2"/>
        <w:spacing w:after="0" w:line="360" w:lineRule="auto"/>
        <w:ind w:left="0" w:firstLine="480" w:firstLineChars="200"/>
        <w:jc w:val="both"/>
        <w:rPr>
          <w:shd w:val="solid" w:color="FFFFFF" w:fill="auto"/>
          <w:lang w:val="en-US"/>
        </w:rPr>
      </w:pPr>
      <w:r>
        <w:rPr>
          <w:rFonts w:hint="eastAsia"/>
          <w:shd w:val="solid" w:color="FFFFFF" w:fill="auto"/>
        </w:rPr>
        <w:t>（1）</w:t>
      </w:r>
      <w:r>
        <w:rPr>
          <w:rFonts w:hint="eastAsia"/>
          <w:highlight w:val="yellow"/>
          <w:u w:val="none"/>
          <w:lang w:eastAsia="zh-CN"/>
        </w:rPr>
        <w:t>（</w:t>
      </w:r>
      <w:r>
        <w:rPr>
          <w:rFonts w:hint="eastAsia"/>
          <w:highlight w:val="yellow"/>
          <w:u w:val="none"/>
          <w:lang w:val="en-US" w:eastAsia="zh-CN"/>
        </w:rPr>
        <w:t>1</w:t>
      </w:r>
      <w:r>
        <w:rPr>
          <w:rFonts w:hint="eastAsia"/>
          <w:highlight w:val="yellow"/>
          <w:u w:val="none"/>
          <w:lang w:eastAsia="zh-CN"/>
        </w:rPr>
        <w:t>）</w:t>
      </w:r>
      <w:r>
        <w:rPr>
          <w:rFonts w:hint="eastAsia" w:ascii="宋体" w:hAnsi="宋体"/>
          <w:highlight w:val="yellow"/>
          <w:u w:val="none"/>
        </w:rPr>
        <w:t>每个季度考核完成后，经乙方申请，甲方支付上季运营服务费的80%，如上季度考核结果出现扣款项目，则按考核结果扣除对应额度后支付；剩余20%运营费统一待第四季度考核、年度考核完成后按考核结果一并支付。</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2</w:t>
      </w:r>
      <w:r>
        <w:rPr>
          <w:rFonts w:hint="eastAsia"/>
          <w:highlight w:val="yellow"/>
          <w:shd w:val="solid" w:color="FFFFFF" w:fill="auto"/>
        </w:rPr>
        <w:t>）季度</w:t>
      </w:r>
      <w:r>
        <w:rPr>
          <w:rFonts w:hint="eastAsia"/>
          <w:highlight w:val="yellow"/>
          <w:shd w:val="solid" w:color="FFFFFF" w:fill="auto"/>
          <w:lang w:val="en-US"/>
        </w:rPr>
        <w:t>考核</w:t>
      </w:r>
      <w:r>
        <w:rPr>
          <w:rFonts w:hint="eastAsia"/>
          <w:highlight w:val="yellow"/>
          <w:shd w:val="solid" w:color="FFFFFF" w:fill="auto"/>
        </w:rPr>
        <w:t>或年度</w:t>
      </w:r>
      <w:r>
        <w:rPr>
          <w:rFonts w:hint="eastAsia"/>
          <w:highlight w:val="yellow"/>
          <w:shd w:val="solid" w:color="FFFFFF" w:fill="auto"/>
          <w:lang w:val="en-US"/>
        </w:rPr>
        <w:t>验收</w:t>
      </w:r>
      <w:r>
        <w:rPr>
          <w:rFonts w:hint="eastAsia"/>
          <w:highlight w:val="yellow"/>
          <w:shd w:val="solid" w:color="FFFFFF" w:fill="auto"/>
        </w:rPr>
        <w:t>完成后，无争议情况下相关费用的核拨最长不应超过</w:t>
      </w:r>
      <w:r>
        <w:rPr>
          <w:rFonts w:hint="eastAsia"/>
          <w:highlight w:val="yellow"/>
          <w:shd w:val="solid" w:color="FFFFFF" w:fill="auto"/>
          <w:lang w:val="en-US"/>
        </w:rPr>
        <w:t>六</w:t>
      </w:r>
      <w:r>
        <w:rPr>
          <w:rFonts w:hint="eastAsia"/>
          <w:highlight w:val="yellow"/>
          <w:shd w:val="solid" w:color="FFFFFF" w:fill="auto"/>
        </w:rPr>
        <w:t>个月，甲方或乙方对于核拨的金额存在争议时应先行核拨无争议的金额并及时就争议金额进行协商。</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3</w:t>
      </w:r>
      <w:r>
        <w:rPr>
          <w:rFonts w:hint="eastAsia"/>
          <w:highlight w:val="yellow"/>
          <w:shd w:val="solid" w:color="FFFFFF" w:fill="auto"/>
        </w:rPr>
        <w:t>）因深汕特别合作区对深圳市深汕特别合作区深水水务有限公司管养费用的拨付程序等政策上的因素造成的付款滞后，乙方须予以谅解。</w:t>
      </w:r>
    </w:p>
    <w:p>
      <w:pPr>
        <w:pStyle w:val="2"/>
        <w:spacing w:before="312" w:beforeLines="100" w:after="0" w:line="360" w:lineRule="auto"/>
        <w:ind w:left="0" w:firstLine="562" w:firstLineChars="200"/>
        <w:jc w:val="both"/>
        <w:rPr>
          <w:rFonts w:ascii="黑体" w:hAnsi="黑体" w:eastAsia="黑体"/>
          <w:b/>
          <w:sz w:val="28"/>
        </w:rPr>
      </w:pPr>
      <w:r>
        <w:rPr>
          <w:rFonts w:ascii="黑体" w:hAnsi="黑体" w:eastAsia="黑体"/>
          <w:b/>
          <w:sz w:val="28"/>
        </w:rPr>
        <w:t>第五条 项目管理要求</w:t>
      </w:r>
    </w:p>
    <w:p>
      <w:pPr>
        <w:jc w:val="both"/>
        <w:outlineLvl w:val="1"/>
        <w:rPr>
          <w:rFonts w:ascii="宋体" w:hAnsi="宋体"/>
          <w:b/>
          <w:sz w:val="24"/>
          <w:lang w:eastAsia="zh-CN"/>
        </w:rPr>
      </w:pPr>
      <w:bookmarkStart w:id="0" w:name="_Toc26425837"/>
      <w:r>
        <w:rPr>
          <w:rFonts w:hint="eastAsia" w:ascii="宋体" w:hAnsi="宋体"/>
          <w:b/>
          <w:sz w:val="24"/>
          <w:lang w:eastAsia="zh-CN"/>
        </w:rPr>
        <w:t>1、人员配备要求</w:t>
      </w:r>
      <w:bookmarkEnd w:id="0"/>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（1）项目负责人1人，具备水利水电工程专业或给排水专业，中级工程师</w:t>
      </w:r>
      <w:r>
        <w:rPr>
          <w:rFonts w:hint="eastAsia" w:ascii="宋体" w:hAnsi="宋体"/>
          <w:sz w:val="24"/>
          <w:szCs w:val="24"/>
          <w:lang w:val="en-US" w:eastAsia="zh-CN"/>
        </w:rPr>
        <w:t>及</w:t>
      </w:r>
      <w:r>
        <w:rPr>
          <w:rFonts w:hint="eastAsia" w:ascii="宋体" w:hAnsi="宋体"/>
          <w:sz w:val="24"/>
          <w:szCs w:val="24"/>
          <w:lang w:eastAsia="zh-CN"/>
        </w:rPr>
        <w:t>以上</w:t>
      </w:r>
      <w:r>
        <w:rPr>
          <w:rFonts w:hint="eastAsia" w:ascii="宋体" w:hAnsi="宋体"/>
          <w:sz w:val="24"/>
          <w:szCs w:val="24"/>
          <w:lang w:val="en-US" w:eastAsia="zh-CN"/>
        </w:rPr>
        <w:t>或一级建造师</w:t>
      </w:r>
      <w:r>
        <w:rPr>
          <w:rFonts w:hint="eastAsia" w:ascii="宋体" w:hAnsi="宋体"/>
          <w:sz w:val="24"/>
          <w:szCs w:val="24"/>
          <w:lang w:eastAsia="zh-CN"/>
        </w:rPr>
        <w:t>职称，本科或以上学历，具有水库河道管养项目的工作经验。</w:t>
      </w:r>
    </w:p>
    <w:p>
      <w:pPr>
        <w:spacing w:after="0" w:line="360" w:lineRule="auto"/>
        <w:ind w:firstLine="480" w:firstLineChars="200"/>
        <w:jc w:val="both"/>
        <w:rPr>
          <w:rFonts w:ascii="宋体" w:hAnsi="宋体"/>
          <w:sz w:val="24"/>
          <w:szCs w:val="24"/>
          <w:highlight w:val="yellow"/>
          <w:lang w:eastAsia="zh-CN"/>
        </w:rPr>
      </w:pPr>
      <w:r>
        <w:rPr>
          <w:rFonts w:hint="eastAsia" w:ascii="宋体" w:hAnsi="宋体"/>
          <w:sz w:val="24"/>
          <w:szCs w:val="24"/>
          <w:lang w:eastAsia="zh-CN"/>
        </w:rPr>
        <w:t>（2）项目常驻技术人员不少于1人，具备中级工程师（水利水电工程</w:t>
      </w:r>
      <w:r>
        <w:rPr>
          <w:rFonts w:hint="eastAsia" w:ascii="宋体" w:hAnsi="宋体"/>
          <w:sz w:val="24"/>
          <w:szCs w:val="24"/>
          <w:lang w:val="en-US" w:eastAsia="zh-CN"/>
        </w:rPr>
        <w:t>或给排水专业</w:t>
      </w:r>
      <w:r>
        <w:rPr>
          <w:rFonts w:hint="eastAsia" w:ascii="宋体" w:hAnsi="宋体"/>
          <w:sz w:val="24"/>
          <w:szCs w:val="24"/>
          <w:lang w:eastAsia="zh-CN"/>
        </w:rPr>
        <w:t>）</w:t>
      </w:r>
      <w:r>
        <w:rPr>
          <w:rFonts w:hint="eastAsia" w:ascii="宋体" w:hAnsi="宋体"/>
          <w:sz w:val="24"/>
          <w:szCs w:val="24"/>
          <w:lang w:val="en-US" w:eastAsia="zh-CN"/>
        </w:rPr>
        <w:t>或一级建造师</w:t>
      </w:r>
      <w:r>
        <w:rPr>
          <w:rFonts w:hint="eastAsia" w:ascii="宋体" w:hAnsi="宋体"/>
          <w:sz w:val="24"/>
          <w:szCs w:val="24"/>
          <w:lang w:eastAsia="zh-CN"/>
        </w:rPr>
        <w:t>资格，具备本科以上学历。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3</w:t>
      </w:r>
      <w:r>
        <w:rPr>
          <w:rFonts w:hint="eastAsia" w:ascii="宋体" w:hAnsi="宋体"/>
          <w:sz w:val="24"/>
          <w:szCs w:val="24"/>
          <w:lang w:eastAsia="zh-CN"/>
        </w:rPr>
        <w:t>）巡查人员：按相关要求配备，不少于19名；</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（4）项目专职资料员不少于1名，具备</w:t>
      </w:r>
      <w:r>
        <w:rPr>
          <w:rFonts w:hint="eastAsia" w:ascii="宋体" w:hAnsi="宋体"/>
          <w:sz w:val="24"/>
          <w:szCs w:val="24"/>
          <w:lang w:val="en-US" w:eastAsia="zh-CN"/>
        </w:rPr>
        <w:t>资料员证书或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（5）项目专职安全员不少于1名，具备安全员资格证书</w:t>
      </w:r>
      <w:r>
        <w:rPr>
          <w:rFonts w:hint="eastAsia" w:ascii="宋体" w:hAnsi="宋体"/>
          <w:sz w:val="24"/>
          <w:szCs w:val="24"/>
          <w:lang w:val="en-US" w:eastAsia="zh-CN"/>
        </w:rPr>
        <w:t>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hint="eastAsia" w:ascii="宋体" w:hAnsi="宋体"/>
          <w:sz w:val="24"/>
          <w:szCs w:val="24"/>
          <w:lang w:eastAsia="zh-CN"/>
        </w:rPr>
      </w:pPr>
      <w:r>
        <w:rPr>
          <w:rFonts w:hint="eastAsia" w:ascii="宋体" w:hAnsi="宋体"/>
          <w:sz w:val="24"/>
          <w:szCs w:val="24"/>
          <w:lang w:eastAsia="zh-CN"/>
        </w:rPr>
        <w:t>（6）派驻业主指定地点办公人员1名，具备助理工程师</w:t>
      </w:r>
      <w:r>
        <w:rPr>
          <w:rFonts w:hint="eastAsia" w:ascii="宋体" w:hAnsi="宋体"/>
          <w:sz w:val="24"/>
          <w:szCs w:val="24"/>
          <w:lang w:val="en-US" w:eastAsia="zh-CN"/>
        </w:rPr>
        <w:t>及以上或二级建造师</w:t>
      </w:r>
      <w:r>
        <w:rPr>
          <w:rFonts w:hint="eastAsia" w:ascii="宋体" w:hAnsi="宋体"/>
          <w:sz w:val="24"/>
          <w:szCs w:val="24"/>
          <w:lang w:eastAsia="zh-CN"/>
        </w:rPr>
        <w:t>资格，本科（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bookmarkStart w:id="12" w:name="_GoBack"/>
      <w:bookmarkEnd w:id="12"/>
      <w:r>
        <w:rPr>
          <w:rFonts w:hint="eastAsia" w:ascii="宋体" w:hAnsi="宋体"/>
          <w:sz w:val="24"/>
          <w:szCs w:val="24"/>
          <w:lang w:eastAsia="zh-CN"/>
        </w:rPr>
        <w:t>（7）其他人员：绿化、保洁、设施维护队伍，人数不少于18人，按需增配，保证现场工作满足技术要求。</w:t>
      </w:r>
    </w:p>
    <w:p>
      <w:pPr>
        <w:pStyle w:val="2"/>
        <w:ind w:firstLine="240" w:firstLineChars="100"/>
      </w:pPr>
      <w:r>
        <w:rPr>
          <w:rFonts w:hint="eastAsia"/>
          <w:highlight w:val="yellow"/>
          <w:lang w:val="en-US"/>
        </w:rPr>
        <w:t>（8）中标人要与参与项目人员签订正式劳动合同。</w:t>
      </w:r>
    </w:p>
    <w:p>
      <w:pPr>
        <w:jc w:val="both"/>
        <w:outlineLvl w:val="1"/>
        <w:rPr>
          <w:rFonts w:ascii="宋体" w:hAnsi="宋体"/>
          <w:b/>
          <w:sz w:val="24"/>
          <w:lang w:eastAsia="zh-CN"/>
        </w:rPr>
      </w:pPr>
      <w:bookmarkStart w:id="1" w:name="_Toc26425838"/>
      <w:r>
        <w:rPr>
          <w:rFonts w:hint="eastAsia" w:ascii="宋体" w:hAnsi="宋体"/>
          <w:b/>
          <w:sz w:val="24"/>
          <w:lang w:eastAsia="zh-CN"/>
        </w:rPr>
        <w:t>2、车辆、船只等设备配备要求</w:t>
      </w:r>
      <w:bookmarkEnd w:id="1"/>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1</w:t>
      </w:r>
      <w:r>
        <w:rPr>
          <w:rFonts w:hint="eastAsia" w:ascii="宋体" w:hAnsi="宋体"/>
          <w:sz w:val="24"/>
          <w:szCs w:val="24"/>
          <w:lang w:eastAsia="zh-CN"/>
        </w:rPr>
        <w:t>）车辆：巡查车辆机动车不少于</w:t>
      </w:r>
      <w:r>
        <w:rPr>
          <w:rFonts w:ascii="宋体" w:hAnsi="宋体"/>
          <w:sz w:val="24"/>
          <w:szCs w:val="24"/>
          <w:lang w:eastAsia="zh-CN"/>
        </w:rPr>
        <w:t>1辆</w:t>
      </w:r>
      <w:r>
        <w:rPr>
          <w:rFonts w:hint="eastAsia" w:ascii="宋体" w:hAnsi="宋体"/>
          <w:sz w:val="24"/>
          <w:szCs w:val="24"/>
          <w:lang w:eastAsia="zh-CN"/>
        </w:rPr>
        <w:t>、摩托车若干、</w:t>
      </w:r>
      <w:r>
        <w:rPr>
          <w:rFonts w:hint="eastAsia"/>
          <w:lang w:eastAsia="zh-CN"/>
        </w:rPr>
        <w:t>无人机不少于1台</w:t>
      </w:r>
      <w:r>
        <w:rPr>
          <w:rFonts w:hint="eastAsia" w:ascii="宋体" w:hAnsi="宋体"/>
          <w:sz w:val="24"/>
          <w:szCs w:val="24"/>
          <w:lang w:eastAsia="zh-CN"/>
        </w:rPr>
        <w:t>；</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（2）绿化/保洁：割草机不少于</w:t>
      </w:r>
      <w:r>
        <w:rPr>
          <w:rFonts w:ascii="宋体" w:hAnsi="宋体"/>
          <w:sz w:val="24"/>
          <w:szCs w:val="24"/>
          <w:lang w:eastAsia="zh-CN"/>
        </w:rPr>
        <w:t>13台、割灌机不少于13台、6台汽油发电机组、6台小型发电照明装置、24台多功能工作灯、汽油机水泵不少于6台、抽水泵不少于8台、机动链条锯不少于10台、电焊机不少于2台等</w:t>
      </w:r>
      <w:r>
        <w:rPr>
          <w:rFonts w:hint="eastAsia" w:ascii="宋体" w:hAnsi="宋体"/>
          <w:sz w:val="24"/>
          <w:szCs w:val="24"/>
          <w:lang w:eastAsia="zh-CN"/>
        </w:rPr>
        <w:t>；</w:t>
      </w:r>
    </w:p>
    <w:p>
      <w:pPr>
        <w:spacing w:line="360" w:lineRule="auto"/>
        <w:ind w:firstLine="480" w:firstLineChars="200"/>
        <w:rPr>
          <w:rFonts w:ascii="宋体" w:hAnsi="宋体"/>
          <w:sz w:val="24"/>
          <w:szCs w:val="24"/>
          <w:lang w:eastAsia="zh-CN"/>
        </w:rPr>
      </w:pPr>
      <w:r>
        <w:rPr>
          <w:rFonts w:hint="eastAsia" w:ascii="宋体" w:hAnsi="宋体"/>
          <w:sz w:val="24"/>
          <w:szCs w:val="24"/>
          <w:lang w:eastAsia="zh-CN"/>
        </w:rPr>
        <w:t>（3）其他设备</w:t>
      </w:r>
      <w:r>
        <w:rPr>
          <w:rFonts w:hint="eastAsia"/>
          <w:lang w:eastAsia="zh-CN"/>
        </w:rPr>
        <w:t>（含应急救援）</w:t>
      </w:r>
      <w:r>
        <w:rPr>
          <w:rFonts w:hint="eastAsia" w:ascii="宋体" w:hAnsi="宋体"/>
          <w:sz w:val="24"/>
          <w:szCs w:val="24"/>
          <w:lang w:eastAsia="zh-CN"/>
        </w:rPr>
        <w:t>：按需配备。</w:t>
      </w:r>
    </w:p>
    <w:p>
      <w:pPr>
        <w:jc w:val="both"/>
        <w:outlineLvl w:val="1"/>
        <w:rPr>
          <w:rFonts w:ascii="宋体" w:hAnsi="宋体"/>
          <w:b/>
          <w:sz w:val="24"/>
          <w:lang w:eastAsia="zh-CN"/>
        </w:rPr>
      </w:pPr>
      <w:bookmarkStart w:id="2" w:name="_Toc26425839"/>
      <w:r>
        <w:rPr>
          <w:rFonts w:hint="eastAsia" w:ascii="宋体" w:hAnsi="宋体"/>
          <w:b/>
          <w:sz w:val="24"/>
          <w:lang w:eastAsia="zh-CN"/>
        </w:rPr>
        <w:t>3、其他工作要求</w:t>
      </w:r>
      <w:bookmarkEnd w:id="2"/>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（1）协助甲方梳理现状合作区涉水业务存在的问题，建立台账档案，提出合理化建议，协助进行处置，并做好跟踪管理；</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（2）协助甲方做好防汛抗旱、水源工程调度、水源保护、治水提质、水库标准化创建、水务监督管理、山洪防治、水事违法查处、水利设施岁修和水务工程防汛演练等相关工作；</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（3）建立管养项目部，配备技术、安全等专职管理人员；建立健全项目管理各项制度、规程以及应急预案等；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（4）做好项目管理养护范围内的涉水、防火、环境污染等安全管理工作，包括不限于安全培训、三级安全教育等；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（5）开展水库、河道水质监测。</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（6）其他甲方要求配合的管理事项。</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7</w:t>
      </w:r>
      <w:r>
        <w:rPr>
          <w:rFonts w:hint="eastAsia" w:ascii="宋体" w:hAnsi="宋体" w:cs="宋体"/>
          <w:sz w:val="24"/>
          <w:szCs w:val="24"/>
          <w:shd w:val="solid" w:color="FFFFFF" w:fill="auto"/>
          <w:lang w:val="zh-CN" w:eastAsia="zh-CN" w:bidi="zh-CN"/>
        </w:rPr>
        <w:t>）中标人应购买公共责任险、安全生产责任险，为本项目所有人员购买社会保险及意外险等。水库、河道均属开放式，意外事故发生的可能性较高，存在一定的安全隐患。在运营期间出现第三者的人身伤亡和财产损失，依法应由中标人承担经济赔偿责任，中标人应通过投保公共责任保险来避免这方面的风险。</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8</w:t>
      </w:r>
      <w:r>
        <w:rPr>
          <w:rFonts w:hint="eastAsia" w:ascii="宋体" w:hAnsi="宋体" w:cs="宋体"/>
          <w:sz w:val="24"/>
          <w:szCs w:val="24"/>
          <w:shd w:val="solid" w:color="FFFFFF" w:fill="auto"/>
          <w:lang w:val="zh-CN" w:eastAsia="zh-CN" w:bidi="zh-CN"/>
        </w:rPr>
        <w:t>）中标人对管养范围内的水库、河道相关附属设施设备承担看护及保管责任，属中标人看护及保管责任范围内的水库、河道相关附属设施设备丢失、人为损坏等问题，由中标人负责报警追讨及补齐，且不得影响河道及其附属设施的正常运行，中标人可视情况自行购买相关保险，避免或降低损失。</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9</w:t>
      </w:r>
      <w:r>
        <w:rPr>
          <w:rFonts w:hint="eastAsia" w:ascii="宋体" w:hAnsi="宋体" w:cs="宋体"/>
          <w:sz w:val="24"/>
          <w:szCs w:val="24"/>
          <w:shd w:val="solid" w:color="FFFFFF" w:fill="auto"/>
          <w:lang w:val="zh-CN" w:eastAsia="zh-CN" w:bidi="zh-CN"/>
        </w:rPr>
        <w:t>）具体的保险类型、保险责任范围、对外责任、赔偿处理、被保险人义务、总则，费率等问题，由中标人和保险公司协商决定，本项目不做具体要求。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第六条</w:t>
      </w:r>
      <w:r>
        <w:rPr>
          <w:rFonts w:hint="eastAsia" w:ascii="黑体" w:hAnsi="黑体" w:eastAsia="黑体"/>
          <w:b/>
          <w:sz w:val="28"/>
          <w:lang w:eastAsia="zh-CN"/>
        </w:rPr>
        <w:t xml:space="preserve"> </w:t>
      </w:r>
      <w:r>
        <w:rPr>
          <w:rFonts w:ascii="黑体" w:hAnsi="黑体" w:eastAsia="黑体"/>
          <w:b/>
          <w:sz w:val="28"/>
          <w:lang w:eastAsia="zh-CN"/>
        </w:rPr>
        <w:t>项目技术要求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1、通用要求：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（1）乙方应当指定项目管理团队两人互为AB角作为专职工作联络人以助甲方做好管理工作；</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w:t>
      </w:r>
      <w:r>
        <w:rPr>
          <w:rFonts w:ascii="宋体" w:hAnsi="宋体"/>
          <w:sz w:val="24"/>
          <w:szCs w:val="24"/>
          <w:highlight w:val="yellow"/>
          <w:shd w:val="solid" w:color="FFFFFF" w:fill="auto"/>
          <w:lang w:eastAsia="zh-CN"/>
        </w:rPr>
        <w:t>2）中标后一周内提交管养项目部机构设置和人员名单</w:t>
      </w:r>
      <w:r>
        <w:rPr>
          <w:rFonts w:hint="eastAsia" w:ascii="宋体" w:hAnsi="宋体"/>
          <w:sz w:val="24"/>
          <w:szCs w:val="24"/>
          <w:highlight w:val="yellow"/>
          <w:shd w:val="solid" w:color="FFFFFF" w:fill="auto"/>
          <w:lang w:eastAsia="zh-CN"/>
        </w:rPr>
        <w:t>，与投标时机构设置人员名单一致。</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水库及河道管理、巡查人员将各种管养维护记录表、检查表、技术培训记录、周期性安全检查记录、安全培训记录、三级安全交底、往来文件分类等管理资料按周、月进行存档和上报，各类管养档案保存应符合国家、行业和深圳市档案管理相关规定建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（4）河道、水库巡查、管养记录中应记录有当日投入设备、人员、物料等管养消耗量。</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（5）资料的格式应符合甲方要求，上交时间须在甲方限定时间内；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（6）各项工作控制指标应符合相关规范要求。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2、水库管养要求：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lang w:eastAsia="zh-CN"/>
        </w:rPr>
        <w:t>水库安保人员应相对稳定，巡查时应带好必要的辅助工具、照相和录像设备，开展现场检查、勘测和取证等工作。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（1）每天巡查，恶劣天气响应应急需求24小时值守，发现库区突发死鱼等反映水质异常情况及时上报。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（2）密切关注天气情况，雨前劝离清退库内无关人员，防止群众下库，雨后负责统计水毁情况。</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（3）水库安保人员在巡查时应认真负责、全面仔细，快速及时地掌握水库设施的整洁和完好状况，做到实事求是，当天做好记录。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（4）水库安保人员要及时掌握涉及水库管理或保护范围的建设项目实施动态，按审批要求对涉及的建设项目进行监督。</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（5）水库安保人员要定期巡查涉及水库管理或保护范围内的用地情况，及时掌握最新情况，做好巡查记录，发现违法建设和违法用地行为及时制止，并将情况及时上报。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（6）水库安保人员要及时掌握涉及水库管理或保护范围的水务边坡稳定性情况，做好巡查记录，发现问题及时上报。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（7）水库安保人员对私自取水、偷排污水、污染水源等违法、违规行为有劝阻的义务，并在第一时间上报，遇到违法事件或突发事件，乙方须立即报告至上一级管理单位和主管部门。</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（8）遇重大活动及节假日，应提供相应的服务（含挂标语、彩旗等），同时应积极主动加强巡查，配合主管部门做好保障工作。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（9）遇防汛、防台等紧急状况，应加强巡查，配合主管部门做好抢险应急工作，第一时间掌握防汛隐患，做好记录，及时上报。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）乙方应配合有关部门做好灾后重建工作，如对受污染的水源地进行清污和消毒处理等</w:t>
      </w:r>
      <w:r>
        <w:rPr>
          <w:rFonts w:hint="eastAsia" w:ascii="宋体" w:hAnsi="宋体"/>
          <w:sz w:val="24"/>
          <w:szCs w:val="24"/>
          <w:shd w:val="solid" w:color="FFFFFF" w:fill="auto"/>
          <w:lang w:eastAsia="zh-CN"/>
        </w:rPr>
        <w:t>。</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（11）水库安保人员巡查过程中发现隐患、白蚁、红火蚁、四害等危及正常管养的情况要及时上报。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（12）水库安保人员要积极配合，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w:t>
      </w:r>
      <w:r>
        <w:rPr>
          <w:rFonts w:hint="eastAsia" w:ascii="宋体" w:hAnsi="宋体"/>
          <w:sz w:val="24"/>
          <w:szCs w:val="24"/>
          <w:lang w:eastAsia="zh-CN"/>
        </w:rPr>
        <w:t>配合甲方清洁库面，净化水质，保障供水安全，乙方应对水库库面及其周边开展保洁工作。保洁范围为水库管理范围内的水域（水库水面、入库河流上延100米或至拦污栅前）、陆域（水面向岸坡延伸的库岸陆域、大坝路面及大坝迎、背水坡面、办公楼周边、防汛道路等）、绿化区及与其功能相关的附属设施等区域，保洁后应做好相应的保洁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（1）保洁人员作业时应佩带保洁人员标志，统一着装；出船或岸坡作业时应穿戴救生衣或安全帽等，做好安全防护，按规范和作业程序作业。</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配合甲方每周2次保洁，做到水面、库岸、大坝、防汛道路等区域无生活垃圾、枯枝枯草、建筑垃圾、吊挂物和杂草，路面无瓜皮、果壳、水瓶、纸屑、烟蒂等散落物、无工农业废弃物、动物尸体、水浮莲等污物，可采取围、捞、拉等多种方式进行清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（3）各类垃圾应于打捞当日清运至政府指定的垃圾受纳场地，不过夜、不焚烧、不掩埋。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（4）在水库管理范围内，乙方要视实际情况在入库河流汇入口设拦污栅设施以拦截漂浮物，桥角、桥墩边、闸前亦宜采取措施拦阻垃圾及漂浮物，适当向溢洪道等泄水区延伸50米进行保洁作业的。</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（5）为保证入库河流及其设施（水闸、拦污栅等）的运行安全，须对库前垃圾漂浮物等清理，拦漂设施上的污物、水浮莲、水葫芦等漂浮物应及时清除。</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（6）当深圳气象台发布黄色暴雨信号或黄色台风信号及以上信号时，应停止保洁作业，服从水库防汛调度要求。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（7）汛期雨后或台风后允许下库作业的情况下须一定时间内赶到水库，对所有水面漂浮物及附着在水生植物上的垃圾进行清理并达到相应等级的保洁标准。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8）水域保洁可采用机械作业或者船舶作业，保洁船应设施完好，船体整洁美观，且宜选用电动或气动无油污染、低噪音的环保型船舶，禁止使用柴油机动船，船上污水杂物不得直接排向水库。管养作业时使用的船只必须由专人驾驶，并配备有救生设备；除特殊情况外，大风、大雾时不准航行；严禁超载，严禁在泄水建筑物附近行驶。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（9）当发生突发污染事件时乙方应在1小时内调集不少于</w:t>
      </w:r>
      <w:r>
        <w:rPr>
          <w:rFonts w:ascii="宋体" w:hAnsi="宋体"/>
          <w:sz w:val="24"/>
          <w:szCs w:val="24"/>
          <w:lang w:eastAsia="zh-CN"/>
        </w:rPr>
        <w:t>1</w:t>
      </w:r>
      <w:r>
        <w:rPr>
          <w:rFonts w:hint="eastAsia" w:ascii="宋体" w:hAnsi="宋体"/>
          <w:sz w:val="24"/>
          <w:szCs w:val="24"/>
          <w:lang w:eastAsia="zh-CN"/>
        </w:rPr>
        <w:t>0人的应急队伍，对水库进行应急保洁处理。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水库管理范围内的建（构）筑物立面应无明显污迹、无乱贴、乱挂和过时破损标语。标识牌、警示牌、指示牌、宣传画廊、废物箱、围墙护栏、围网、平台、码头、栈道等设施应保持完好清洁，无明显污迹、积尘。</w:t>
      </w:r>
    </w:p>
    <w:p>
      <w:pPr>
        <w:pStyle w:val="52"/>
        <w:spacing w:line="360" w:lineRule="auto"/>
        <w:ind w:firstLine="480" w:firstLineChars="200"/>
        <w:jc w:val="both"/>
        <w:rPr>
          <w:rFonts w:ascii="宋体" w:hAnsi="宋体"/>
          <w:sz w:val="24"/>
          <w:szCs w:val="24"/>
          <w:highlight w:val="yellow"/>
          <w:lang w:eastAsia="zh-CN"/>
        </w:rPr>
      </w:pPr>
      <w:r>
        <w:rPr>
          <w:rFonts w:hint="eastAsia" w:ascii="宋体" w:hAnsi="宋体"/>
          <w:sz w:val="24"/>
          <w:szCs w:val="24"/>
          <w:highlight w:val="yellow"/>
          <w:lang w:eastAsia="zh-CN"/>
        </w:rPr>
        <w:t>（11）应急性保洁：当发现大量垃圾影响排洪或美观时，或发生特大暴雨、台风时，应在险情过后及时进行应急性保洁。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定期对水库背水坡草坪、管理区内绿化景观等进行管养维护，包括除草、施肥、浇水、病虫害防治、补植等，保证绿化植物（植被）生长良好，防止水土流失。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hint="eastAsia" w:ascii="宋体" w:hAnsi="宋体"/>
          <w:sz w:val="24"/>
          <w:szCs w:val="24"/>
          <w:highlight w:val="yellow"/>
          <w:lang w:eastAsia="zh-CN"/>
        </w:rPr>
        <w:t>1次</w:t>
      </w:r>
      <w:r>
        <w:rPr>
          <w:rFonts w:hint="eastAsia" w:ascii="宋体" w:hAnsi="宋体"/>
          <w:sz w:val="24"/>
          <w:szCs w:val="24"/>
          <w:lang w:eastAsia="zh-CN"/>
        </w:rPr>
        <w:t>，修建草坪时应按照规范正确使用割草机，甲方有特殊要求的情况下根据甲方要求增加修剪次数以保证绿化管养效果。</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附属设施基础维护：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（1）对机电设备维修养护工作内容主要包括刷油漆、加润滑油及检查启闭状况。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（2）各种电力线路、电缆线路、照明线路等输电线路的维修养护要防止发生漏电、短路、虚连等现象，线路接头连接要良好，注意防止铜铝接头锈蚀，经常清除架空线路上的树障，保持线路畅通。</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（3）对操作设备及配电设备进行日常维护。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（4）指示仪表及避雷器等均按供电部门有关规定定期校验，建筑物的防雷设施维护保证安全运用。</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E、水质监测、大坝安全监测：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（2）配合甲方做好大坝安全监测相关工作。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深汕特别合作区内水库长期无专业化管理，同时现场目前仍然存在配套设施不全、机电设备老旧等问题，在项目管养期间对机电设备进行定期检查和启闭，避免长期未使用无法启闭运行；对现状损坏的栏杆、标志牌进行修复；对溢洪道、坝体零星损坏部分进行修复更换等。故本项目管养维护期间发生的2万元以下小型维修工程，由乙方直接实施，费用直接在管养费用中列支，如规定期限内未进行修复，由甲方组织进行修复，费用从合同款项中扣除；当维修工程超过2万元（含2万元），可向甲方申请应急维修资金。</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3、河道管养要求：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shd w:val="solid" w:color="FFFFFF" w:fill="auto"/>
          <w:lang w:eastAsia="zh-CN"/>
        </w:rPr>
        <w:t>根据深汕特别合作区河道现状、两岸居民特点、合作区人口及现状基础设施情况等，至少保证城镇河段每2公里配备1名专业管护人员、山野河段每4公里配备1名专业管护人员，每日至少巡查1次，人员难以到达处，无人机巡查不低于1次/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每天巡查，发现安全隐患及时报告甲方；发现一般违法违规现象，应及时进行制止，口头警告或劝离对方，如制止无效则应立即报告甲方；发现较大、严重或重大水事违法违规事件、突发事件时，应立即电话报告甲方，进行制止及拍照取证，填写相应登记表格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（2）巡查人员在巡查时应认真负责、全面仔细，快速及时掌握河道整体状况，做到实事求是，并当天做好巡查记录。</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）密切关注天气情况，雨前劝离河道内全部行人，雨中驻守各下河道路路口，设置警示线或警戒墩，防止行人下河，雨后负责统计水毁情况。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）巡查人员要及时掌握涉河建设项目实施动态，按审批要求对涉河建设项目进行监管。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）遇重大活动及节假日，应提供相应的服务（含挂标语、彩旗等），同时应积极主动加强巡查，配合甲方做好保障工作。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hint="eastAsia" w:ascii="宋体" w:hAnsi="宋体"/>
          <w:sz w:val="24"/>
          <w:szCs w:val="24"/>
          <w:shd w:val="solid" w:color="FFFFFF" w:fill="auto"/>
          <w:lang w:eastAsia="zh-CN"/>
        </w:rPr>
        <w:t>巡查</w:t>
      </w:r>
      <w:r>
        <w:rPr>
          <w:rFonts w:hint="eastAsia" w:ascii="宋体" w:hAnsi="宋体"/>
          <w:sz w:val="24"/>
          <w:szCs w:val="24"/>
          <w:lang w:eastAsia="zh-CN"/>
        </w:rPr>
        <w:t>人员巡查过程中发现隐患、白蚁、红火蚁、四害等危及正常管养的情况要及时上报。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（7）</w:t>
      </w:r>
      <w:r>
        <w:rPr>
          <w:rFonts w:hint="eastAsia" w:ascii="宋体" w:hAnsi="宋体"/>
          <w:sz w:val="24"/>
          <w:szCs w:val="24"/>
          <w:shd w:val="solid" w:color="FFFFFF" w:fill="auto"/>
          <w:lang w:eastAsia="zh-CN"/>
        </w:rPr>
        <w:t>巡查</w:t>
      </w:r>
      <w:r>
        <w:rPr>
          <w:rFonts w:hint="eastAsia" w:ascii="宋体" w:hAnsi="宋体"/>
          <w:sz w:val="24"/>
          <w:szCs w:val="24"/>
          <w:lang w:eastAsia="zh-CN"/>
        </w:rPr>
        <w:t>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（8）遇洪水、台风等紧急状况，应加强巡查，配合甲方做好抢险应急工作，第一时间掌握防洪隐患，做好记录，及时上报。</w:t>
      </w:r>
    </w:p>
    <w:p>
      <w:pPr>
        <w:ind w:firstLine="480" w:firstLineChars="200"/>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巡查：在节假日或发生洪水、暴雨、台风、高（大）潮、重大投诉、事故等情况时，应加大巡查频次。遇红色及以上暴雨、橙色及以上台风等恶劣天气时，应停止巡查人员分散式巡查，由巡查车辆集中对重点河段进行巡查。暴雨、台风预警信号取消后2小时内进行首次应急巡查，24小时内巡查次数不少于3次，48小时内不少于5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城镇河段水/陆域保洁频率为5天一次，山野河段进行定期巡查，保洁工作根据现场实际情况开展。水域保洁除日常清漂外，每年至少开展两次全流域专项清漂行动，确保水面无成片漂浮物。保洁作为河道管养中的一项重要子项，其主要任务是负责河道管理范围内的清洁工作，包括河面、挡墙、堤坡、护栏、巡河道等位置。在特殊情况下应根据甲方要求，提高保洁频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（1）河道水域每1000m水面漂浮物（包括水生植物、垃圾）应控制在一定范围内，超过则须限时清理。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河道上视实际情况在支流汇入口设拦污栅以拦截漂浮物，桥角、桥墩边、闸前亦宜采取措施拦阻漂浮物；拦阻的漂浮物应及时打捞，做到日产日清并运至垃圾场或其它指定场所进行处理；拦漂设施上的漂浮物应及时清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（3）汛期河道重点河段清理须在河道所属流域雨停并允许下河作业后一定时间内达到相应等级的保洁标准。</w:t>
      </w:r>
    </w:p>
    <w:p>
      <w:pPr>
        <w:pStyle w:val="52"/>
        <w:spacing w:before="312" w:beforeLines="100"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当发布黄色及黄色以上暴雨、台风信号时，停止河道保洁作业，汛期的保洁应服从河道防汛调度要求。应服从汛期相关规定和防汛调度要求，密切关注天气信息，保洁人员做好防洪、防风抢险准备工作。当深圳气象台发布台风、暴雨黄色及以上信号时，停止河道保洁作业，保洁作业人员转为巡查人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（5）根据合作区具体情况，河道陆域范围应无废弃物（垃圾）、吊挂物和杂草。</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（6）河道重点河段无瓜皮、果壳、纸屑、烟蒂等散落物。</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（7）河道管理范围内的建（构）筑物立面应无明显污迹、无乱贴、乱挂和过时破损标语。广告牌、指示牌、废物箱、围栏、平台、栈道等设施应保持完好清洁，无明显污迹、积尘。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（8）防汛通道路面废弃物控制指标应符合相关规定。</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（9）应急性保洁：当发现河道大量垃圾影响排洪或美观时，或发生特大洪水、暴雨、台风、高（大）潮、倾倒垃圾渣土事件后，应在2小时内及时进行应急性保洁。</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堤防及附属设施基础养护：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1</w:t>
      </w:r>
      <w:r>
        <w:rPr>
          <w:rFonts w:hint="eastAsia" w:ascii="宋体" w:hAnsi="宋体"/>
          <w:sz w:val="24"/>
          <w:szCs w:val="24"/>
          <w:shd w:val="solid" w:color="FFFFFF" w:fill="auto"/>
          <w:lang w:eastAsia="zh-CN"/>
        </w:rPr>
        <w:t>）土堤出现雨淋沟、浪窝、塌陷或墙后填土区发生下陷时，应随时按原设计标准填补夯实。对土堤、土坡的草皮护坡，局部缺损应及时修复。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2</w:t>
      </w:r>
      <w:r>
        <w:rPr>
          <w:rFonts w:hint="eastAsia" w:ascii="宋体" w:hAnsi="宋体"/>
          <w:sz w:val="24"/>
          <w:szCs w:val="24"/>
          <w:shd w:val="solid" w:color="FFFFFF" w:fill="auto"/>
          <w:lang w:eastAsia="zh-CN"/>
        </w:rPr>
        <w:t>）土堤出现表层裂缝时，应根据裂缝特征及时修复。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）砌石混凝土护岸养护应保持坡面平顺、砌块完好、砌缝紧密，无松动、塌陷、脱落、架空等现象，无杂草、杂物，保持坡面整洁完好。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）干砌石护岸养护应符合下列规定：填补、整修变形或损坏的块石；更换风化或损毁的块石，并嵌砌紧密；护坡局部塌陷或垫层被淘刷，应先翻出块石，恢复土体和垫层，再将块石嵌砌紧密。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混凝土或浆砌石护岸养护应符合下列规定：定期清理护坡表面杂物；变形缝内填料流失应及时填补，填补前将缝内杂物清除干净；浆砌石的灰缝脱落应及时修补，修补时将缝口剔清刷净，修补后洒水养护；护岸局部发生侵蚀剥落或破碎，应采用水泥砂浆进行抹补、喷浆处理；破碎面较大且有垫层淘刷、砌体架空现象的，应填塞石料进行临时性处理，岁修时彻底整修；排水孔堵塞，应及时疏通；护岸局部出现裂缝，应加强观测，判别裂缝成因并进行处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6</w:t>
      </w:r>
      <w:r>
        <w:rPr>
          <w:rFonts w:hint="eastAsia" w:ascii="宋体" w:hAnsi="宋体"/>
          <w:sz w:val="24"/>
          <w:szCs w:val="24"/>
          <w:shd w:val="solid" w:color="FFFFFF" w:fill="auto"/>
          <w:lang w:eastAsia="zh-CN"/>
        </w:rPr>
        <w:t>）混凝土网格护岸的养护应符合下列规定：混凝土网格破损，应采用水泥砂浆抹补，并填平混凝土网格与土基接合部；应及时对网格内护坡草皮进行补植、清除杂草，适时浇水；草皮覆盖率应达到95%以上。</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7</w:t>
      </w:r>
      <w:r>
        <w:rPr>
          <w:rFonts w:hint="eastAsia" w:ascii="宋体" w:hAnsi="宋体"/>
          <w:sz w:val="24"/>
          <w:szCs w:val="24"/>
          <w:shd w:val="solid" w:color="FFFFFF" w:fill="auto"/>
          <w:lang w:eastAsia="zh-CN"/>
        </w:rPr>
        <w:t>）模袋混凝土、水泥土、异性块体护岸等应根据其材料性质，按有关规定进行养护。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（8）对河长公示牌应定期检查及维护，发现有损坏、污损、变形、变色、老化、字体不清、外物遮蔽及覆盖等问题应及时完成维修、清理或更换。</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ascii="宋体" w:hAnsi="宋体"/>
          <w:sz w:val="24"/>
          <w:szCs w:val="24"/>
          <w:highlight w:val="yellow"/>
          <w:lang w:eastAsia="zh-CN"/>
        </w:rPr>
        <w:t>2</w:t>
      </w:r>
      <w:r>
        <w:rPr>
          <w:rFonts w:hint="eastAsia" w:ascii="宋体" w:hAnsi="宋体"/>
          <w:sz w:val="24"/>
          <w:szCs w:val="24"/>
          <w:highlight w:val="yellow"/>
          <w:lang w:eastAsia="zh-CN"/>
        </w:rPr>
        <w:t>次</w:t>
      </w:r>
      <w:r>
        <w:rPr>
          <w:rFonts w:hint="eastAsia" w:ascii="宋体" w:hAnsi="宋体"/>
          <w:sz w:val="24"/>
          <w:szCs w:val="24"/>
          <w:lang w:eastAsia="zh-CN"/>
        </w:rPr>
        <w:t>，修建草坪时应按照规范正确使用割草机，甲方有特殊要求的情况下根据甲方要求增加修剪次数。</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E、水质监测、堤坝安全监测：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（2）配合甲方做好堤坝安全监测相关工作。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本项目管养范围内河道常年未经专业化管养，堤防存在较多隐患，同时项目所含河道水位暴涨暴落，过流能力受海潮顶托的影响大，遭受大的洪涝灾害，高水位持续时间长等原因，会使各种水利工程设施遭受严重破坏。在项目管养期间对机电设备进行定期检查和启闭，避免长期未使用无法启闭运行；对现状损坏的栏杆、标志牌进行修复；对河堤坝体零星损坏部分进行修复更换等。</w:t>
      </w:r>
      <w:r>
        <w:rPr>
          <w:rFonts w:hint="eastAsia" w:ascii="宋体" w:hAnsi="宋体"/>
          <w:sz w:val="24"/>
          <w:szCs w:val="24"/>
          <w:highlight w:val="yellow"/>
          <w:shd w:val="solid" w:color="FFFFFF" w:fill="auto"/>
          <w:lang w:eastAsia="zh-CN"/>
        </w:rPr>
        <w:t>故本项目管养维护期间发生的2万元以下小型维修工程，由乙方直接实施，费用直接在管养费用中列支，</w:t>
      </w:r>
      <w:r>
        <w:rPr>
          <w:rFonts w:hint="eastAsia" w:ascii="宋体" w:hAnsi="宋体"/>
          <w:sz w:val="24"/>
          <w:szCs w:val="24"/>
          <w:shd w:val="solid" w:color="FFFFFF" w:fill="auto"/>
          <w:lang w:eastAsia="zh-CN"/>
        </w:rPr>
        <w:t>如规定期限内未进行修复，由甲方组织进行修复，费用从合同款项中扣除；</w:t>
      </w:r>
      <w:r>
        <w:rPr>
          <w:rFonts w:hint="eastAsia" w:ascii="宋体" w:hAnsi="宋体"/>
          <w:sz w:val="24"/>
          <w:szCs w:val="24"/>
          <w:highlight w:val="yellow"/>
          <w:shd w:val="solid" w:color="FFFFFF" w:fill="auto"/>
          <w:lang w:eastAsia="zh-CN"/>
        </w:rPr>
        <w:t>当维修工程超过2万元（含2万元），可向甲方申请应急维修资金。</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为及时消除安全隐患及不影响河道整体功能效果，拟根据损坏工程及河道设施修复费用计，如损毁较为严重的，须请示甲方按相关职责划分聘请专业公司进行专项治理，包含但不仅限以下内容：①堤顶维修养护；②堤坡维修养护。其中堤顶维修养护主要是对局部受损的堤顶路面进行养护、混凝土修补，内容主要包括拆除修复素混凝土路面、修复道路碎石基层、路肩养护土方等。堤坡维修养护包括：草皮护坡（堤坡养护土方、草皮养护、草皮补植）、迎水坡砌体护坡（浆砌石护岸/挡墙维修、勾缝修补、堤坡垫层砂石修补、拆除 砌体）、迎水侧陡墙（沉箱）维护（防浪墙修补、沟缝修补）。</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ascii="宋体" w:hAnsi="宋体"/>
          <w:b/>
          <w:sz w:val="24"/>
          <w:szCs w:val="24"/>
          <w:shd w:val="solid" w:color="FFFFFF" w:fill="auto"/>
          <w:lang w:eastAsia="zh-CN"/>
        </w:rPr>
        <w:t>4</w:t>
      </w:r>
      <w:r>
        <w:rPr>
          <w:rFonts w:hint="eastAsia" w:ascii="宋体" w:hAnsi="宋体"/>
          <w:b/>
          <w:sz w:val="24"/>
          <w:szCs w:val="24"/>
          <w:shd w:val="solid" w:color="FFFFFF" w:fill="auto"/>
          <w:lang w:eastAsia="zh-CN"/>
        </w:rPr>
        <w:t>.安全生产</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在运维管养期间，中标人要按照安全生产的相关法律法规的要求履行相关的安全生产责任和义务，招标人有权对中标人的安全生产工作情况进行考核，并采取相关的惩处措施。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中标人须按照《中国人民共和国安全生产法》、《深圳市生产经营单位安全生产主体责任》等有关安全生产法律法规的要求，建立健全相关安全生产制度，成立安全生产管理机构并配备专职安全生产管理人员（以正式文件明确）。中标人要根据项目的具体情况认真执行安全技术技术标准和规范，严格遵守安全制度，落实安全防护措施，加强现场管理，并开展安全隐患的排查治理、员工的安全教育培训、应急演练等相关安全生产工作，随时接受合同甲方及相关单位的监督检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（2）中标人必须使用合格的安全防护用具、机械设备、施工机具及配件等，并要求相关人员按照操作规程和相关规范正确使用上述物品。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（3）中标人要在水库、河道桥底、水深超过1M的临水区域等危险区域设置必要的救生器材（救生衣、救生圈、救生绳等）。每辆巡河车（包括：电瓶车、电动车）须携带救生衣、救生圈、救生绳至少各1件。</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（4）中标人在河道巡查过程中要及时发现安全隐患，并采取必要措施进行控制或消除隐患；同时劝阻游人的危险行为。</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（5）中标人要安排专人对采购的防汛物资按照相关制度进行管理，做好出入库、库房管理、日常养护等工作。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发现重大安全隐患、违章操作、安全生产事故等情况时，合同甲方有权要求中标人停工整顿，并对其进行经济或其他方面的处罚；必要时，有权终止合同，并将违规人员清退出场，由此造成的经济损失和违约责任由中标人承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（7）由于中标人原因造成的安全事故，全部由中标人承担相应责任及发生的费用。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中标人需配备至少一名专职安全管理人员，对日常管养安全工作负责。安全管理人员应制定安全生产措施和劳动保护计划、安全事故应急预案、监督管理日常安全生产工作，研究制定防止职业危害的措施并监督执行，定期组织开展安全生产大检查，并做好相关记录。中标人应为管养人员配备相应的劳保用品。</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七</w:t>
      </w:r>
      <w:r>
        <w:rPr>
          <w:rFonts w:ascii="黑体" w:hAnsi="黑体" w:eastAsia="黑体"/>
          <w:b/>
          <w:sz w:val="28"/>
          <w:lang w:eastAsia="zh-CN"/>
        </w:rPr>
        <w:t xml:space="preserve">条 </w:t>
      </w:r>
      <w:r>
        <w:rPr>
          <w:rFonts w:hint="eastAsia" w:ascii="黑体" w:hAnsi="黑体" w:eastAsia="黑体"/>
          <w:b/>
          <w:sz w:val="28"/>
          <w:lang w:eastAsia="zh-CN"/>
        </w:rPr>
        <w:t>风险</w:t>
      </w:r>
      <w:r>
        <w:rPr>
          <w:rFonts w:ascii="黑体" w:hAnsi="黑体" w:eastAsia="黑体"/>
          <w:b/>
          <w:sz w:val="28"/>
          <w:lang w:eastAsia="zh-CN"/>
        </w:rPr>
        <w:t>转移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乙方在水务设施管养时可能发生的所有风险（不可抗力除外）均由乙方承担，甲方因此受到的索赔要求、法律责任由乙方负责赔偿与解决，如因社会第三方引起，乙方有权向第三方索偿的权利，甲方予以协助。乙方在管养服务期</w:t>
      </w:r>
      <w:r>
        <w:rPr>
          <w:rFonts w:hint="eastAsia"/>
          <w:shd w:val="solid" w:color="FFFFFF" w:fill="auto"/>
          <w:lang w:val="en-US" w:eastAsia="zh-CN"/>
        </w:rPr>
        <w:t>及售后服务期</w:t>
      </w:r>
      <w:r>
        <w:rPr>
          <w:rFonts w:hint="eastAsia"/>
          <w:shd w:val="solid" w:color="FFFFFF" w:fill="auto"/>
          <w:lang w:val="en-US"/>
        </w:rPr>
        <w:t>内对其管养工作承担包括并不限于以下责任：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（1）因乙方对水务设施的检查或抢修不及时，导致地面坍陷、河道护坡坍塌、河道护栏损坏等造成的人身、财产损失索赔和环保处罚等；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（2）因乙方对河道设施的检查或抢修不及时导致河道防护网损坏、标识牌或警示牌缺失等造成的人身、财产损失索赔和环保处罚等；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（3）因乙方对水库设施的检查或抢修不及时导致水库防护网损坏、标识牌或警示牌缺失等造成的人身、财产损失索赔和环保处罚等；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（4）乙方员工或者乙方聘请的工作人员在维护作业过程中以及完成本合同约定的其他工作内容时造成的人身、财产损害。</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 xml:space="preserve">（5）因乙方管养过程中（包括但不限于保洁、绿化等）产生的垃圾未能及时清运到政府指定的收纳场地的，导致相关环保部门处罚及群众投诉等； </w:t>
      </w:r>
      <w:r>
        <w:rPr>
          <w:shd w:val="solid" w:color="FFFFFF" w:fill="auto"/>
          <w:lang w:val="en-US"/>
        </w:rPr>
        <w:t xml:space="preserve">     </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6</w:t>
      </w:r>
      <w:r>
        <w:rPr>
          <w:rFonts w:hint="eastAsia"/>
          <w:shd w:val="solid" w:color="FFFFFF" w:fill="auto"/>
          <w:lang w:val="en-US"/>
        </w:rPr>
        <w:t>）其他因乙方对水务设施的检查与维修工作不及时造成的人身、财产损失索赔；</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7</w:t>
      </w:r>
      <w:r>
        <w:rPr>
          <w:rFonts w:hint="eastAsia"/>
          <w:shd w:val="solid" w:color="FFFFFF" w:fill="auto"/>
          <w:lang w:val="en-US"/>
        </w:rPr>
        <w:t>）在合同服务期</w:t>
      </w:r>
      <w:r>
        <w:rPr>
          <w:rFonts w:hint="eastAsia"/>
          <w:shd w:val="solid" w:color="FFFFFF" w:fill="auto"/>
          <w:lang w:val="en-US" w:eastAsia="zh-CN"/>
        </w:rPr>
        <w:t>及售后服务期</w:t>
      </w:r>
      <w:r>
        <w:rPr>
          <w:rFonts w:hint="eastAsia"/>
          <w:shd w:val="solid" w:color="FFFFFF" w:fill="auto"/>
          <w:lang w:val="en-US"/>
        </w:rPr>
        <w:t>管辖范围内发生的安全事故、意外事件等，造成人身、财产损失索赔；乙方应购买公众责任险(包括第三方责任险)等相关商业险转移风险，费用计入合同价中，为包干费用，结算时不做任何调整。如乙方未购买或少购买，在运营期间发生的一切事故，责任由乙方负责。</w:t>
      </w:r>
    </w:p>
    <w:p>
      <w:pPr>
        <w:pStyle w:val="2"/>
        <w:spacing w:after="0"/>
        <w:ind w:left="0"/>
        <w:rPr>
          <w:shd w:val="solid" w:color="FFFFFF" w:fill="auto"/>
          <w:lang w:val="en-US"/>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八</w:t>
      </w:r>
      <w:r>
        <w:rPr>
          <w:rFonts w:ascii="黑体" w:hAnsi="黑体" w:eastAsia="黑体"/>
          <w:b/>
          <w:sz w:val="28"/>
          <w:lang w:eastAsia="zh-CN"/>
        </w:rPr>
        <w:t>条 保修或售后服务要求</w:t>
      </w:r>
    </w:p>
    <w:p>
      <w:pPr>
        <w:jc w:val="both"/>
        <w:outlineLvl w:val="1"/>
        <w:rPr>
          <w:rFonts w:ascii="宋体" w:hAnsi="宋体"/>
          <w:b/>
          <w:sz w:val="24"/>
          <w:lang w:eastAsia="zh-CN"/>
        </w:rPr>
      </w:pPr>
      <w:r>
        <w:rPr>
          <w:rFonts w:ascii="宋体" w:hAnsi="宋体"/>
          <w:b/>
          <w:sz w:val="24"/>
          <w:lang w:eastAsia="zh-CN"/>
        </w:rPr>
        <w:t>1、服务要求</w:t>
      </w:r>
    </w:p>
    <w:p>
      <w:pPr>
        <w:pStyle w:val="59"/>
        <w:tabs>
          <w:tab w:val="left" w:pos="993"/>
          <w:tab w:val="left" w:pos="1320"/>
        </w:tabs>
        <w:spacing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项目人员现场派驻要求：乙方须承诺在进场前配齐所有项目人员，具体证明材料及人员名单</w:t>
      </w:r>
      <w:r>
        <w:rPr>
          <w:rFonts w:hint="eastAsia" w:ascii="宋体" w:hAnsi="宋体"/>
          <w:sz w:val="24"/>
          <w:szCs w:val="24"/>
          <w:lang w:eastAsia="zh-CN"/>
        </w:rPr>
        <w:t>合同签订</w:t>
      </w:r>
      <w:r>
        <w:rPr>
          <w:rFonts w:ascii="宋体" w:hAnsi="宋体"/>
          <w:sz w:val="24"/>
          <w:szCs w:val="24"/>
          <w:lang w:eastAsia="zh-CN"/>
        </w:rPr>
        <w:t>后须提供，并在运维过程中严格按数量及资质要求配备。要求所有人员实名制，须常驻现场办公，未经甲方允许不得擅离。</w:t>
      </w:r>
    </w:p>
    <w:p>
      <w:pPr>
        <w:pStyle w:val="59"/>
        <w:tabs>
          <w:tab w:val="left" w:pos="993"/>
          <w:tab w:val="left" w:pos="132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不得擅自更换驻点业主单位的成员以及其他成员，如因特殊原因更换，需经甲方同意，若更换后的人员无法胜任相应职责，可要求中标人更换和调整，直到满意为止，每更换一名由乙方主动调整但考核不合格的驻点人员，乙方应按合同总价的1.5%支付违约金。</w:t>
      </w:r>
    </w:p>
    <w:p>
      <w:pPr>
        <w:pStyle w:val="59"/>
        <w:tabs>
          <w:tab w:val="left" w:pos="120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派驻业主单位工作人员按要求接受甲方考核，考核频率为每季度一次，考核不合格人员乙方应更换和调整，更换后驻点人员在下一季度考核中如果仍不合格，乙方应按合同总价的1%支付违约金，直到更换驻点人员考核合格为止。</w:t>
      </w:r>
    </w:p>
    <w:p>
      <w:pPr>
        <w:pStyle w:val="59"/>
        <w:tabs>
          <w:tab w:val="left" w:pos="1200"/>
        </w:tabs>
        <w:spacing w:after="0" w:line="360" w:lineRule="auto"/>
        <w:ind w:left="0" w:firstLine="480" w:firstLineChars="200"/>
        <w:jc w:val="both"/>
        <w:rPr>
          <w:rFonts w:ascii="宋体" w:hAnsi="宋体"/>
          <w:b/>
          <w:sz w:val="24"/>
          <w:szCs w:val="24"/>
          <w:lang w:eastAsia="zh-CN"/>
        </w:rPr>
      </w:pPr>
      <w:r>
        <w:rPr>
          <w:rFonts w:hint="eastAsia" w:ascii="宋体" w:hAnsi="宋体"/>
          <w:sz w:val="24"/>
          <w:szCs w:val="24"/>
          <w:lang w:eastAsia="zh-CN"/>
        </w:rPr>
        <w:t>（2）</w:t>
      </w:r>
      <w:r>
        <w:rPr>
          <w:rFonts w:ascii="宋体" w:hAnsi="宋体"/>
          <w:spacing w:val="-5"/>
          <w:sz w:val="24"/>
          <w:szCs w:val="24"/>
          <w:lang w:eastAsia="zh-CN"/>
        </w:rPr>
        <w:t>项目人员变更：在服务期限内，项目人员应相对稳定，乙方不得擅自更换项目负责人，否则应向甲方支付合同总价的20%作为违约金；如因不可抗力更换项目负责人，乙方需提前10天以书面形式报告并进行备案，在征得招标人同意后继续行使合同文件约定的前任职权，履行前任的义务。若招标人认为更换后的负责人不能胜任相应职责，可要求中标人更换和调整，直到满意为止，每更换一名不能胜任职责的负责人乙方应向甲方支付5%违约金。如更换现场人员</w:t>
      </w:r>
      <w:r>
        <w:rPr>
          <w:rFonts w:ascii="宋体" w:hAnsi="宋体"/>
          <w:sz w:val="24"/>
          <w:szCs w:val="24"/>
          <w:lang w:eastAsia="zh-CN"/>
        </w:rPr>
        <w:t>，</w:t>
      </w:r>
      <w:r>
        <w:rPr>
          <w:rFonts w:ascii="宋体" w:hAnsi="宋体"/>
          <w:spacing w:val="-15"/>
          <w:sz w:val="24"/>
          <w:szCs w:val="24"/>
          <w:lang w:eastAsia="zh-CN"/>
        </w:rPr>
        <w:t>须提前</w:t>
      </w:r>
      <w:r>
        <w:rPr>
          <w:rFonts w:ascii="宋体" w:hAnsi="宋体"/>
          <w:sz w:val="24"/>
          <w:szCs w:val="24"/>
          <w:lang w:eastAsia="zh-CN"/>
        </w:rPr>
        <w:t>30</w:t>
      </w:r>
      <w:r>
        <w:rPr>
          <w:rFonts w:ascii="宋体" w:hAnsi="宋体"/>
          <w:spacing w:val="-8"/>
          <w:sz w:val="24"/>
          <w:szCs w:val="24"/>
          <w:lang w:eastAsia="zh-CN"/>
        </w:rPr>
        <w:t>个工作日向甲方提供书面申请并经甲方同</w:t>
      </w:r>
      <w:r>
        <w:rPr>
          <w:rFonts w:ascii="宋体" w:hAnsi="宋体"/>
          <w:spacing w:val="-7"/>
          <w:sz w:val="24"/>
          <w:szCs w:val="24"/>
          <w:lang w:eastAsia="zh-CN"/>
        </w:rPr>
        <w:t>意。乙方不得随意更换项目负责人和项目管理团队成员，</w:t>
      </w:r>
      <w:r>
        <w:rPr>
          <w:rFonts w:ascii="宋体" w:hAnsi="宋体"/>
          <w:b/>
          <w:spacing w:val="-3"/>
          <w:sz w:val="24"/>
          <w:szCs w:val="24"/>
          <w:lang w:eastAsia="zh-CN"/>
        </w:rPr>
        <w:t>未经甲方同意擅自更换的，</w:t>
      </w:r>
      <w:r>
        <w:rPr>
          <w:rFonts w:hint="eastAsia" w:ascii="宋体" w:hAnsi="宋体"/>
          <w:b/>
          <w:spacing w:val="-3"/>
          <w:sz w:val="24"/>
          <w:szCs w:val="24"/>
          <w:lang w:eastAsia="zh-CN"/>
        </w:rPr>
        <w:t>情节严重的，</w:t>
      </w:r>
      <w:r>
        <w:rPr>
          <w:rFonts w:ascii="宋体" w:hAnsi="宋体"/>
          <w:b/>
          <w:spacing w:val="-3"/>
          <w:sz w:val="24"/>
          <w:szCs w:val="24"/>
          <w:lang w:eastAsia="zh-CN"/>
        </w:rPr>
        <w:t>甲</w:t>
      </w:r>
      <w:r>
        <w:rPr>
          <w:rFonts w:ascii="宋体" w:hAnsi="宋体"/>
          <w:b/>
          <w:sz w:val="24"/>
          <w:szCs w:val="24"/>
          <w:lang w:eastAsia="zh-CN"/>
        </w:rPr>
        <w:t>方有权解除合同。</w:t>
      </w:r>
    </w:p>
    <w:p>
      <w:pPr>
        <w:pStyle w:val="59"/>
        <w:tabs>
          <w:tab w:val="left" w:pos="1200"/>
        </w:tabs>
        <w:spacing w:after="0"/>
        <w:ind w:left="0" w:firstLine="482"/>
        <w:rPr>
          <w:rFonts w:ascii="宋体" w:hAnsi="宋体"/>
          <w:sz w:val="24"/>
          <w:szCs w:val="24"/>
          <w:lang w:eastAsia="zh-CN"/>
        </w:rPr>
      </w:pPr>
      <w:r>
        <w:rPr>
          <w:rFonts w:ascii="宋体" w:hAnsi="宋体"/>
          <w:spacing w:val="-7"/>
          <w:sz w:val="24"/>
          <w:szCs w:val="24"/>
          <w:lang w:eastAsia="zh-CN"/>
        </w:rPr>
        <w:t>（3）</w:t>
      </w:r>
      <w:r>
        <w:rPr>
          <w:rFonts w:ascii="宋体" w:hAnsi="宋体"/>
          <w:sz w:val="24"/>
          <w:szCs w:val="24"/>
          <w:lang w:eastAsia="zh-CN"/>
        </w:rPr>
        <w:t>生产安全事故扣款</w:t>
      </w:r>
    </w:p>
    <w:p>
      <w:pPr>
        <w:pStyle w:val="59"/>
        <w:tabs>
          <w:tab w:val="left" w:pos="1200"/>
        </w:tabs>
        <w:spacing w:after="0" w:line="360" w:lineRule="auto"/>
        <w:ind w:left="0" w:firstLine="480" w:firstLineChars="200"/>
        <w:jc w:val="both"/>
        <w:rPr>
          <w:rFonts w:ascii="宋体" w:hAnsi="宋体"/>
          <w:b/>
          <w:sz w:val="24"/>
          <w:szCs w:val="24"/>
          <w:lang w:eastAsia="zh-CN"/>
        </w:rPr>
      </w:pPr>
      <w:r>
        <w:rPr>
          <w:rFonts w:ascii="宋体" w:hAnsi="宋体"/>
          <w:sz w:val="24"/>
          <w:szCs w:val="24"/>
          <w:lang w:eastAsia="zh-CN"/>
        </w:rPr>
        <w:t>如发生生产</w:t>
      </w:r>
      <w:r>
        <w:rPr>
          <w:rFonts w:ascii="宋体" w:hAnsi="宋体"/>
          <w:spacing w:val="-8"/>
          <w:sz w:val="24"/>
          <w:szCs w:val="24"/>
          <w:lang w:eastAsia="zh-CN"/>
        </w:rPr>
        <w:t>安全事故，责任认定以有关部门调查报告或意见为准，应根据以下等级比例系数扣除乙方该月已完成工作运维费:主要责任50%,同等责任25%,次要责任15%，涉及行政处罚、赔偿的，以法律法规相关规定及(或)涉事方协商为准。</w:t>
      </w:r>
    </w:p>
    <w:p>
      <w:pPr>
        <w:spacing w:line="360" w:lineRule="auto"/>
        <w:jc w:val="both"/>
        <w:outlineLvl w:val="1"/>
        <w:rPr>
          <w:rFonts w:ascii="宋体" w:hAnsi="宋体"/>
          <w:b/>
          <w:sz w:val="24"/>
          <w:lang w:eastAsia="zh-CN"/>
        </w:rPr>
      </w:pPr>
      <w:r>
        <w:rPr>
          <w:rFonts w:ascii="宋体" w:hAnsi="宋体"/>
          <w:b/>
          <w:sz w:val="24"/>
          <w:lang w:eastAsia="zh-CN"/>
        </w:rPr>
        <w:t>2、技术培训等要求</w:t>
      </w:r>
    </w:p>
    <w:p>
      <w:pPr>
        <w:pStyle w:val="2"/>
        <w:spacing w:after="0" w:line="360" w:lineRule="auto"/>
        <w:ind w:left="0" w:firstLine="480" w:firstLineChars="200"/>
        <w:jc w:val="both"/>
      </w:pPr>
      <w:r>
        <w:rPr>
          <w:rFonts w:hint="eastAsia"/>
        </w:rPr>
        <w:t>项目</w:t>
      </w:r>
      <w:r>
        <w:t>人员上岗前集中培训、教育，培训要求：</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了解和熟悉国家及地方相关法律、法规、规章、规范性文件的要求进行管养</w:t>
      </w:r>
      <w:r>
        <w:rPr>
          <w:rFonts w:ascii="宋体" w:hAnsi="宋体"/>
          <w:sz w:val="24"/>
          <w:szCs w:val="24"/>
          <w:lang w:eastAsia="zh-CN"/>
        </w:rPr>
        <w:t>维护。</w:t>
      </w:r>
    </w:p>
    <w:p>
      <w:pPr>
        <w:pStyle w:val="59"/>
        <w:numPr>
          <w:ilvl w:val="1"/>
          <w:numId w:val="2"/>
        </w:numPr>
        <w:tabs>
          <w:tab w:val="left" w:pos="993"/>
          <w:tab w:val="left" w:pos="1320"/>
        </w:tabs>
        <w:spacing w:after="0" w:line="360" w:lineRule="auto"/>
        <w:ind w:left="0" w:firstLine="480" w:firstLineChars="200"/>
        <w:jc w:val="both"/>
        <w:rPr>
          <w:rFonts w:ascii="宋体" w:hAnsi="宋体"/>
          <w:sz w:val="24"/>
          <w:szCs w:val="24"/>
          <w:lang w:eastAsia="zh-CN"/>
        </w:rPr>
      </w:pPr>
      <w:r>
        <w:rPr>
          <w:rFonts w:ascii="宋体" w:hAnsi="宋体"/>
          <w:sz w:val="24"/>
          <w:szCs w:val="24"/>
          <w:lang w:eastAsia="zh-CN"/>
        </w:rPr>
        <w:t>安全培训：包括现场巡查、机械设备使用等安全教育培训，确保人员</w:t>
      </w:r>
      <w:r>
        <w:rPr>
          <w:rFonts w:ascii="宋体" w:hAnsi="宋体"/>
          <w:spacing w:val="-14"/>
          <w:sz w:val="24"/>
          <w:szCs w:val="24"/>
          <w:lang w:eastAsia="zh-CN"/>
        </w:rPr>
        <w:t>安全。让现场管养人员熟悉机械设备、工具的正确使用方法、完全掌握游泳、驾驶船只、</w:t>
      </w:r>
      <w:r>
        <w:rPr>
          <w:rFonts w:ascii="宋体" w:hAnsi="宋体"/>
          <w:sz w:val="24"/>
          <w:szCs w:val="24"/>
          <w:lang w:eastAsia="zh-CN"/>
        </w:rPr>
        <w:t>打捞水上垃圾、水上救援等各项技能。</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技术培训：使养护人员明确自己的职责与义务，熟悉日常管理维护工作的内</w:t>
      </w:r>
      <w:r>
        <w:rPr>
          <w:rFonts w:ascii="宋体" w:hAnsi="宋体"/>
          <w:sz w:val="24"/>
          <w:szCs w:val="24"/>
          <w:lang w:eastAsia="zh-CN"/>
        </w:rPr>
        <w:t>容。</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培养养护人员认真负责与安全执勤的意识，掌握工作的重点及工作的步骤、</w:t>
      </w:r>
      <w:r>
        <w:rPr>
          <w:rFonts w:ascii="宋体" w:hAnsi="宋体"/>
          <w:sz w:val="24"/>
          <w:szCs w:val="24"/>
          <w:lang w:eastAsia="zh-CN"/>
        </w:rPr>
        <w:t>内容和方法，如何处理或协助处理违禁事件</w:t>
      </w:r>
      <w:r>
        <w:rPr>
          <w:rFonts w:hint="eastAsia" w:ascii="宋体" w:hAnsi="宋体"/>
          <w:sz w:val="24"/>
          <w:szCs w:val="24"/>
          <w:lang w:eastAsia="zh-CN"/>
        </w:rPr>
        <w:t>、违禁</w:t>
      </w:r>
      <w:r>
        <w:rPr>
          <w:rFonts w:ascii="宋体" w:hAnsi="宋体"/>
          <w:sz w:val="24"/>
          <w:szCs w:val="24"/>
          <w:lang w:eastAsia="zh-CN"/>
        </w:rPr>
        <w:t>人员和处理紧急突发事件的能力。</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按照相关规定做好施工现场的安全文明工作，尽量减少实施过程中产生的噪</w:t>
      </w:r>
      <w:r>
        <w:rPr>
          <w:rFonts w:ascii="宋体" w:hAnsi="宋体"/>
          <w:sz w:val="24"/>
          <w:szCs w:val="24"/>
          <w:lang w:eastAsia="zh-CN"/>
        </w:rPr>
        <w:t>声、扬尘、废气、废水对周边环境的影响。</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提高安保及运维人员在执勤巡逻及运行维护时与违禁人员交际沟通、文明劝</w:t>
      </w:r>
      <w:r>
        <w:rPr>
          <w:rFonts w:ascii="宋体" w:hAnsi="宋体"/>
          <w:sz w:val="24"/>
          <w:szCs w:val="24"/>
          <w:lang w:eastAsia="zh-CN"/>
        </w:rPr>
        <w:t>阻的能力，及对违禁事件处理的能力。</w:t>
      </w:r>
    </w:p>
    <w:p>
      <w:pPr>
        <w:pStyle w:val="59"/>
        <w:numPr>
          <w:ilvl w:val="1"/>
          <w:numId w:val="2"/>
        </w:numPr>
        <w:tabs>
          <w:tab w:val="left" w:pos="993"/>
          <w:tab w:val="left" w:pos="1320"/>
        </w:tabs>
        <w:spacing w:after="0" w:line="360" w:lineRule="auto"/>
        <w:ind w:left="0" w:firstLine="476" w:firstLineChars="200"/>
        <w:rPr>
          <w:rFonts w:ascii="宋体" w:hAnsi="宋体"/>
          <w:spacing w:val="-1"/>
          <w:sz w:val="24"/>
          <w:szCs w:val="24"/>
          <w:lang w:eastAsia="zh-CN"/>
        </w:rPr>
      </w:pPr>
      <w:r>
        <w:rPr>
          <w:rFonts w:ascii="宋体" w:hAnsi="宋体"/>
          <w:spacing w:val="-1"/>
          <w:sz w:val="24"/>
          <w:szCs w:val="24"/>
          <w:lang w:eastAsia="zh-CN"/>
        </w:rPr>
        <w:t>乙方须定期对保安人员进行安全基本技能培训，对河道、水库管理管养人员进行防汛抢险、管养巡查、安全等相关专业技术培训，由乙方自行安排，并做好</w:t>
      </w:r>
      <w:r>
        <w:rPr>
          <w:rFonts w:hint="eastAsia" w:ascii="宋体" w:hAnsi="宋体"/>
          <w:spacing w:val="-1"/>
          <w:sz w:val="24"/>
          <w:szCs w:val="24"/>
          <w:lang w:eastAsia="zh-CN"/>
        </w:rPr>
        <w:t>相关记录归档工作，并通知甲方</w:t>
      </w:r>
      <w:r>
        <w:rPr>
          <w:rFonts w:ascii="宋体" w:hAnsi="宋体"/>
          <w:spacing w:val="-1"/>
          <w:sz w:val="24"/>
          <w:szCs w:val="24"/>
          <w:lang w:eastAsia="zh-CN"/>
        </w:rPr>
        <w:t>。</w:t>
      </w:r>
    </w:p>
    <w:p>
      <w:pPr>
        <w:jc w:val="both"/>
        <w:outlineLvl w:val="1"/>
        <w:rPr>
          <w:rFonts w:ascii="宋体" w:hAnsi="宋体"/>
          <w:b/>
          <w:sz w:val="24"/>
          <w:lang w:eastAsia="zh-CN"/>
        </w:rPr>
      </w:pPr>
      <w:r>
        <w:rPr>
          <w:rFonts w:ascii="宋体" w:hAnsi="宋体"/>
          <w:b/>
          <w:sz w:val="24"/>
          <w:lang w:eastAsia="zh-CN"/>
        </w:rPr>
        <w:t>3、发生问题的处理</w:t>
      </w:r>
    </w:p>
    <w:p>
      <w:pPr>
        <w:pStyle w:val="2"/>
        <w:spacing w:after="0" w:line="360" w:lineRule="auto"/>
        <w:ind w:left="0" w:firstLine="482" w:firstLineChars="200"/>
        <w:jc w:val="both"/>
        <w:rPr>
          <w:b/>
          <w:bCs/>
        </w:rPr>
      </w:pPr>
      <w:r>
        <w:rPr>
          <w:b/>
          <w:bCs/>
        </w:rPr>
        <w:t>A</w:t>
      </w:r>
      <w:r>
        <w:rPr>
          <w:rFonts w:hint="eastAsia"/>
          <w:b/>
          <w:bCs/>
        </w:rPr>
        <w:t>、</w:t>
      </w:r>
      <w:r>
        <w:rPr>
          <w:b/>
          <w:bCs/>
        </w:rPr>
        <w:t>水事违法案件处理</w:t>
      </w:r>
    </w:p>
    <w:p>
      <w:pPr>
        <w:pStyle w:val="2"/>
        <w:spacing w:after="0" w:line="360" w:lineRule="auto"/>
        <w:ind w:left="0" w:firstLine="482" w:firstLineChars="200"/>
        <w:jc w:val="both"/>
      </w:pPr>
      <w:r>
        <w:rPr>
          <w:b/>
          <w:bCs/>
        </w:rPr>
        <w:t>乙方除对河道进行日常管理维护外，还须对巡查中发现的各类水事违法案件及时予以劝阻,并及时</w:t>
      </w:r>
      <w:r>
        <w:rPr>
          <w:rFonts w:hint="eastAsia"/>
          <w:b/>
          <w:bCs/>
        </w:rPr>
        <w:t>记录</w:t>
      </w:r>
      <w:r>
        <w:rPr>
          <w:b/>
          <w:bCs/>
        </w:rPr>
        <w:t>上报甲方及相关部门。</w:t>
      </w:r>
    </w:p>
    <w:p>
      <w:pPr>
        <w:pStyle w:val="2"/>
        <w:spacing w:after="0" w:line="360" w:lineRule="auto"/>
        <w:ind w:left="0" w:firstLine="480" w:firstLineChars="200"/>
        <w:jc w:val="both"/>
      </w:pPr>
      <w:r>
        <w:t>常见的水事违法案件包括：</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非法倾倒</w:t>
      </w:r>
      <w:r>
        <w:rPr>
          <w:rFonts w:hint="eastAsia" w:ascii="宋体" w:hAnsi="宋体"/>
          <w:sz w:val="24"/>
          <w:szCs w:val="24"/>
          <w:lang w:eastAsia="zh-CN"/>
        </w:rPr>
        <w:t>：</w:t>
      </w:r>
      <w:r>
        <w:rPr>
          <w:rFonts w:ascii="宋体" w:hAnsi="宋体"/>
          <w:sz w:val="24"/>
          <w:szCs w:val="24"/>
          <w:lang w:eastAsia="zh-CN"/>
        </w:rPr>
        <w:t>向管养范围内倾倒生活垃圾、建筑垃圾、工业废料、渣土等。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非法排污</w:t>
      </w:r>
      <w:r>
        <w:rPr>
          <w:rFonts w:hint="eastAsia" w:ascii="宋体" w:hAnsi="宋体"/>
          <w:sz w:val="24"/>
          <w:szCs w:val="24"/>
          <w:lang w:eastAsia="zh-CN"/>
        </w:rPr>
        <w:t>：</w:t>
      </w:r>
      <w:r>
        <w:rPr>
          <w:rFonts w:ascii="宋体" w:hAnsi="宋体"/>
          <w:sz w:val="24"/>
          <w:szCs w:val="24"/>
          <w:lang w:eastAsia="zh-CN"/>
        </w:rPr>
        <w:t>向管养范围内排放粪渣、泥浆、工业污水等。排水口出现污水颜色鲜艳、含有刺激性气味、大量泡沫、油污等现象，属于工业污水排放。</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（3）</w:t>
      </w:r>
      <w:r>
        <w:rPr>
          <w:rFonts w:ascii="宋体" w:hAnsi="宋体"/>
          <w:sz w:val="24"/>
          <w:szCs w:val="24"/>
          <w:lang w:eastAsia="zh-CN"/>
        </w:rPr>
        <w:t>违法施工</w:t>
      </w:r>
      <w:r>
        <w:rPr>
          <w:rFonts w:hint="eastAsia" w:ascii="宋体" w:hAnsi="宋体"/>
          <w:spacing w:val="-6"/>
          <w:sz w:val="24"/>
          <w:szCs w:val="24"/>
          <w:lang w:eastAsia="zh-CN"/>
        </w:rPr>
        <w:t>：</w:t>
      </w:r>
      <w:r>
        <w:rPr>
          <w:rFonts w:ascii="宋体" w:hAnsi="宋体"/>
          <w:spacing w:val="-6"/>
          <w:sz w:val="24"/>
          <w:szCs w:val="24"/>
          <w:lang w:eastAsia="zh-CN"/>
        </w:rPr>
        <w:t>未依法在水务主管部门办理相关手续，擅自在管养范围内打桩、开挖、搭建、爆破、埋</w:t>
      </w:r>
      <w:r>
        <w:rPr>
          <w:rFonts w:ascii="宋体" w:hAnsi="宋体"/>
          <w:spacing w:val="-5"/>
          <w:sz w:val="24"/>
          <w:szCs w:val="24"/>
          <w:lang w:eastAsia="zh-CN"/>
        </w:rPr>
        <w:t>杆等属于违法施工。管养人员发现管养范围内有工程施工行为时，须查验施工单位的相</w:t>
      </w:r>
      <w:r>
        <w:rPr>
          <w:rFonts w:ascii="宋体" w:hAnsi="宋体"/>
          <w:spacing w:val="-3"/>
          <w:sz w:val="24"/>
          <w:szCs w:val="24"/>
          <w:lang w:eastAsia="zh-CN"/>
        </w:rPr>
        <w:t>关许可文件。施工单位无法提供相关许可证书</w:t>
      </w:r>
      <w:r>
        <w:rPr>
          <w:rFonts w:ascii="宋体" w:hAnsi="宋体"/>
          <w:sz w:val="24"/>
          <w:szCs w:val="24"/>
          <w:lang w:eastAsia="zh-CN"/>
        </w:rPr>
        <w:t>（文件等</w:t>
      </w:r>
      <w:r>
        <w:rPr>
          <w:rFonts w:ascii="宋体" w:hAnsi="宋体"/>
          <w:spacing w:val="-10"/>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w:t>
      </w:r>
      <w:r>
        <w:rPr>
          <w:rFonts w:ascii="宋体" w:hAnsi="宋体"/>
          <w:spacing w:val="-7"/>
          <w:sz w:val="24"/>
          <w:szCs w:val="24"/>
          <w:lang w:eastAsia="zh-CN"/>
        </w:rPr>
        <w:t>文件</w:t>
      </w:r>
      <w:r>
        <w:rPr>
          <w:rFonts w:ascii="宋体" w:hAnsi="宋体"/>
          <w:sz w:val="24"/>
          <w:szCs w:val="24"/>
          <w:lang w:eastAsia="zh-CN"/>
        </w:rPr>
        <w:t>等）的规定施工的属于违法施工。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w:t>
      </w:r>
      <w:r>
        <w:rPr>
          <w:rFonts w:ascii="宋体" w:hAnsi="宋体"/>
          <w:sz w:val="24"/>
          <w:szCs w:val="24"/>
          <w:lang w:eastAsia="zh-CN"/>
        </w:rPr>
        <w:t>非法经营</w:t>
      </w:r>
      <w:r>
        <w:rPr>
          <w:rFonts w:hint="eastAsia" w:ascii="宋体" w:hAnsi="宋体"/>
          <w:sz w:val="24"/>
          <w:szCs w:val="24"/>
          <w:lang w:eastAsia="zh-CN"/>
        </w:rPr>
        <w:t>：</w:t>
      </w:r>
      <w:r>
        <w:rPr>
          <w:rFonts w:ascii="宋体" w:hAnsi="宋体"/>
          <w:sz w:val="24"/>
          <w:szCs w:val="24"/>
          <w:lang w:eastAsia="zh-CN"/>
        </w:rPr>
        <w:t>在管养范围内从事各种形式的经营性活动，如乱摆摊、从事营业性拍摄、营业性洗车</w:t>
      </w:r>
      <w:r>
        <w:rPr>
          <w:rFonts w:hint="eastAsia" w:ascii="宋体" w:hAnsi="宋体"/>
          <w:sz w:val="24"/>
          <w:szCs w:val="24"/>
          <w:lang w:eastAsia="zh-CN"/>
        </w:rPr>
        <w:t>、</w:t>
      </w:r>
      <w:r>
        <w:rPr>
          <w:rFonts w:ascii="宋体" w:hAnsi="宋体"/>
          <w:sz w:val="24"/>
          <w:szCs w:val="24"/>
          <w:lang w:eastAsia="zh-CN"/>
        </w:rPr>
        <w:t>养殖等。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盗窃或破坏水务设施，如导示标牌、栏杆、垃圾桶等。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其他</w:t>
      </w:r>
      <w:r>
        <w:rPr>
          <w:rFonts w:hint="eastAsia" w:ascii="宋体" w:hAnsi="宋体"/>
          <w:sz w:val="24"/>
          <w:szCs w:val="24"/>
          <w:lang w:eastAsia="zh-CN"/>
        </w:rPr>
        <w:t>：</w:t>
      </w:r>
      <w:r>
        <w:rPr>
          <w:rFonts w:ascii="宋体" w:hAnsi="宋体"/>
          <w:spacing w:val="-6"/>
          <w:sz w:val="24"/>
          <w:szCs w:val="24"/>
          <w:lang w:eastAsia="zh-CN"/>
        </w:rPr>
        <w:t>其他违反《中华人民共和国水法》、《中华人民共和国防洪法》、《中华人民共和</w:t>
      </w:r>
      <w:r>
        <w:rPr>
          <w:rFonts w:ascii="宋体" w:hAnsi="宋体"/>
          <w:spacing w:val="-9"/>
          <w:sz w:val="24"/>
          <w:szCs w:val="24"/>
          <w:lang w:eastAsia="zh-CN"/>
        </w:rPr>
        <w:t>国河道管理条例》、《深圳经济特区水资源管理条例》等国家及地方法律、法规、规章</w:t>
      </w:r>
      <w:r>
        <w:rPr>
          <w:rFonts w:ascii="宋体" w:hAnsi="宋体"/>
          <w:sz w:val="24"/>
          <w:szCs w:val="24"/>
          <w:lang w:eastAsia="zh-CN"/>
        </w:rPr>
        <w:t>的行为。</w:t>
      </w:r>
    </w:p>
    <w:p>
      <w:pPr>
        <w:pStyle w:val="2"/>
        <w:spacing w:after="0" w:line="360" w:lineRule="auto"/>
        <w:ind w:left="0" w:firstLine="482" w:firstLineChars="200"/>
        <w:jc w:val="both"/>
        <w:rPr>
          <w:b/>
          <w:bCs/>
        </w:rPr>
      </w:pPr>
      <w:r>
        <w:rPr>
          <w:rFonts w:hint="eastAsia"/>
          <w:b/>
          <w:bCs/>
        </w:rPr>
        <w:t>B</w:t>
      </w:r>
      <w:r>
        <w:rPr>
          <w:b/>
          <w:bCs/>
        </w:rPr>
        <w:t>、机电设施违法事件处理</w:t>
      </w:r>
    </w:p>
    <w:p>
      <w:pPr>
        <w:pStyle w:val="2"/>
        <w:spacing w:after="0" w:line="360" w:lineRule="auto"/>
        <w:ind w:left="0" w:firstLine="482" w:firstLineChars="200"/>
        <w:jc w:val="both"/>
      </w:pPr>
      <w:r>
        <w:rPr>
          <w:b/>
          <w:bCs/>
        </w:rPr>
        <w:t>乙方除对水务设施进行日常</w:t>
      </w:r>
      <w:r>
        <w:rPr>
          <w:rFonts w:hint="eastAsia"/>
          <w:b/>
          <w:bCs/>
        </w:rPr>
        <w:t>基础</w:t>
      </w:r>
      <w:r>
        <w:rPr>
          <w:b/>
          <w:bCs/>
        </w:rPr>
        <w:t>保养外，还须对巡查中发现的各类机电设施违法案件及时予以劝阻,并及时</w:t>
      </w:r>
      <w:r>
        <w:rPr>
          <w:rFonts w:hint="eastAsia"/>
          <w:b/>
          <w:bCs/>
        </w:rPr>
        <w:t>记录</w:t>
      </w:r>
      <w:r>
        <w:rPr>
          <w:b/>
          <w:bCs/>
        </w:rPr>
        <w:t>上报甲方及相关部门。</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违法施工</w:t>
      </w:r>
      <w:r>
        <w:rPr>
          <w:rFonts w:hint="eastAsia" w:ascii="宋体" w:hAnsi="宋体"/>
          <w:sz w:val="24"/>
          <w:szCs w:val="24"/>
          <w:lang w:eastAsia="zh-CN"/>
        </w:rPr>
        <w:t>：</w:t>
      </w:r>
      <w:r>
        <w:rPr>
          <w:rFonts w:ascii="宋体" w:hAnsi="宋体"/>
          <w:spacing w:val="-4"/>
          <w:sz w:val="24"/>
          <w:szCs w:val="24"/>
          <w:lang w:eastAsia="zh-CN"/>
        </w:rPr>
        <w:t>未依法在水务主管部门办理相关手续，擅自在橡胶坝、格栅机、闸门处施工等属于</w:t>
      </w:r>
      <w:r>
        <w:rPr>
          <w:rFonts w:ascii="宋体" w:hAnsi="宋体"/>
          <w:spacing w:val="-7"/>
          <w:sz w:val="24"/>
          <w:szCs w:val="24"/>
          <w:lang w:eastAsia="zh-CN"/>
        </w:rPr>
        <w:t>违法施工。管养人员发现机电设施附近有工程施工行为时，须查验施工单位的相关许可</w:t>
      </w:r>
      <w:r>
        <w:rPr>
          <w:rFonts w:ascii="宋体" w:hAnsi="宋体"/>
          <w:spacing w:val="-4"/>
          <w:sz w:val="24"/>
          <w:szCs w:val="24"/>
          <w:lang w:eastAsia="zh-CN"/>
        </w:rPr>
        <w:t>文件。施工单位无法提供相关许可证书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12"/>
          <w:sz w:val="24"/>
          <w:szCs w:val="24"/>
          <w:lang w:eastAsia="zh-CN"/>
        </w:rPr>
        <w:t>的</w:t>
      </w:r>
      <w:r>
        <w:rPr>
          <w:rFonts w:ascii="宋体" w:hAnsi="宋体"/>
          <w:sz w:val="24"/>
          <w:szCs w:val="24"/>
          <w:lang w:eastAsia="zh-CN"/>
        </w:rPr>
        <w:t>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盗窃或破坏机电设施，如橡胶坝、格栅机、闸门等。</w:t>
      </w:r>
    </w:p>
    <w:p>
      <w:pPr>
        <w:spacing w:after="0" w:line="360" w:lineRule="auto"/>
        <w:ind w:firstLine="480" w:firstLineChars="200"/>
        <w:jc w:val="both"/>
        <w:rPr>
          <w:rFonts w:ascii="宋体" w:hAnsi="宋体"/>
          <w:sz w:val="24"/>
          <w:szCs w:val="24"/>
          <w:lang w:eastAsia="zh-CN"/>
        </w:rPr>
      </w:pPr>
      <w:r>
        <w:rPr>
          <w:rFonts w:ascii="宋体" w:hAnsi="宋体"/>
          <w:sz w:val="24"/>
          <w:szCs w:val="24"/>
          <w:lang w:eastAsia="zh-CN"/>
        </w:rPr>
        <w:t>C</w:t>
      </w:r>
      <w:r>
        <w:rPr>
          <w:rFonts w:hint="eastAsia" w:ascii="宋体" w:hAnsi="宋体"/>
          <w:sz w:val="24"/>
          <w:szCs w:val="24"/>
          <w:lang w:eastAsia="zh-CN"/>
        </w:rPr>
        <w:t>、第三方侵权</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因第三方原因导致相关设施发生损坏的，乙方应积极配合甲方，勒令相关单位及时进行维修，尽快恢复相关设施的正常运行；若第三方不能及时进行维修，由乙方先行处理，产生的费用上报甲方并由甲方申请维修资金，同时乙方应全力配合甲方向第三方索赔。</w:t>
      </w:r>
    </w:p>
    <w:p>
      <w:pPr>
        <w:jc w:val="both"/>
        <w:outlineLvl w:val="1"/>
        <w:rPr>
          <w:rFonts w:ascii="宋体" w:hAnsi="宋体"/>
          <w:b/>
          <w:sz w:val="24"/>
          <w:lang w:eastAsia="zh-CN"/>
        </w:rPr>
      </w:pPr>
      <w:r>
        <w:rPr>
          <w:rFonts w:ascii="宋体" w:hAnsi="宋体"/>
          <w:b/>
          <w:sz w:val="24"/>
          <w:lang w:eastAsia="zh-CN"/>
        </w:rPr>
        <w:t>4、售后要求</w:t>
      </w:r>
    </w:p>
    <w:p>
      <w:pPr>
        <w:tabs>
          <w:tab w:val="left" w:pos="1320"/>
        </w:tabs>
        <w:spacing w:after="0" w:line="360" w:lineRule="auto"/>
        <w:ind w:firstLine="440" w:firstLineChars="200"/>
        <w:jc w:val="both"/>
        <w:rPr>
          <w:rFonts w:ascii="宋体" w:hAnsi="宋体"/>
          <w:sz w:val="24"/>
          <w:szCs w:val="24"/>
          <w:lang w:eastAsia="zh-CN"/>
        </w:rPr>
      </w:pPr>
      <w:r>
        <w:rPr>
          <w:rFonts w:hint="eastAsia" w:ascii="宋体" w:hAnsi="宋体"/>
          <w:spacing w:val="-10"/>
          <w:sz w:val="24"/>
          <w:szCs w:val="24"/>
          <w:lang w:eastAsia="zh-CN"/>
        </w:rPr>
        <w:t>（1）</w:t>
      </w:r>
      <w:r>
        <w:rPr>
          <w:rFonts w:ascii="宋体" w:hAnsi="宋体"/>
          <w:spacing w:val="-10"/>
          <w:sz w:val="24"/>
          <w:szCs w:val="24"/>
          <w:lang w:eastAsia="zh-CN"/>
        </w:rPr>
        <w:t xml:space="preserve">合同期限内：乙方应 </w:t>
      </w:r>
      <w:r>
        <w:rPr>
          <w:rFonts w:hint="eastAsia" w:ascii="宋体" w:hAnsi="宋体"/>
          <w:spacing w:val="-10"/>
          <w:sz w:val="24"/>
          <w:szCs w:val="24"/>
          <w:lang w:eastAsia="zh-CN"/>
        </w:rPr>
        <w:t>每周</w:t>
      </w:r>
      <w:r>
        <w:rPr>
          <w:rFonts w:ascii="宋体" w:hAnsi="宋体"/>
          <w:sz w:val="24"/>
          <w:szCs w:val="24"/>
          <w:lang w:eastAsia="zh-CN"/>
        </w:rPr>
        <w:t>7</w:t>
      </w:r>
      <w:r>
        <w:rPr>
          <w:rFonts w:ascii="宋体" w:hAnsi="宋体"/>
          <w:spacing w:val="-30"/>
          <w:sz w:val="24"/>
          <w:szCs w:val="24"/>
          <w:lang w:eastAsia="zh-CN"/>
        </w:rPr>
        <w:t xml:space="preserve"> 天</w:t>
      </w:r>
      <w:r>
        <w:rPr>
          <w:rFonts w:ascii="宋体" w:hAnsi="宋体"/>
          <w:sz w:val="24"/>
          <w:szCs w:val="24"/>
          <w:lang w:eastAsia="zh-CN"/>
        </w:rPr>
        <w:t>*24</w:t>
      </w:r>
      <w:r>
        <w:rPr>
          <w:rFonts w:ascii="宋体" w:hAnsi="宋体"/>
          <w:spacing w:val="-11"/>
          <w:sz w:val="24"/>
          <w:szCs w:val="24"/>
          <w:lang w:eastAsia="zh-CN"/>
        </w:rPr>
        <w:t xml:space="preserve"> 小时响应服务，配合甲方，提供全天候、不间</w:t>
      </w:r>
      <w:r>
        <w:rPr>
          <w:rFonts w:ascii="宋体" w:hAnsi="宋体"/>
          <w:spacing w:val="-4"/>
          <w:sz w:val="24"/>
          <w:szCs w:val="24"/>
          <w:lang w:eastAsia="zh-CN"/>
        </w:rPr>
        <w:t>断的服务。</w:t>
      </w:r>
    </w:p>
    <w:p>
      <w:pPr>
        <w:tabs>
          <w:tab w:val="left" w:pos="1320"/>
        </w:tabs>
        <w:spacing w:after="0" w:line="360" w:lineRule="auto"/>
        <w:ind w:firstLine="432" w:firstLineChars="200"/>
        <w:jc w:val="both"/>
        <w:rPr>
          <w:rFonts w:ascii="宋体" w:hAnsi="宋体"/>
          <w:sz w:val="24"/>
          <w:szCs w:val="24"/>
          <w:lang w:eastAsia="zh-CN"/>
        </w:rPr>
      </w:pPr>
      <w:r>
        <w:rPr>
          <w:rFonts w:hint="eastAsia" w:ascii="宋体" w:hAnsi="宋体"/>
          <w:spacing w:val="-12"/>
          <w:sz w:val="24"/>
          <w:szCs w:val="24"/>
          <w:lang w:eastAsia="zh-CN"/>
        </w:rPr>
        <w:t>（2）</w:t>
      </w:r>
      <w:r>
        <w:rPr>
          <w:rFonts w:ascii="宋体" w:hAnsi="宋体"/>
          <w:spacing w:val="-12"/>
          <w:sz w:val="24"/>
          <w:szCs w:val="24"/>
          <w:lang w:eastAsia="zh-CN"/>
        </w:rPr>
        <w:t xml:space="preserve">合同期满 </w:t>
      </w:r>
      <w:r>
        <w:rPr>
          <w:rFonts w:ascii="宋体" w:hAnsi="宋体"/>
          <w:sz w:val="24"/>
          <w:szCs w:val="24"/>
          <w:lang w:eastAsia="zh-CN"/>
        </w:rPr>
        <w:t>3</w:t>
      </w:r>
      <w:r>
        <w:rPr>
          <w:rFonts w:ascii="宋体" w:hAnsi="宋体"/>
          <w:spacing w:val="-9"/>
          <w:sz w:val="24"/>
          <w:szCs w:val="24"/>
          <w:lang w:eastAsia="zh-CN"/>
        </w:rPr>
        <w:t>个月内，配合甲方做好项目</w:t>
      </w:r>
      <w:r>
        <w:rPr>
          <w:rFonts w:hint="eastAsia" w:ascii="宋体" w:hAnsi="宋体"/>
          <w:spacing w:val="-9"/>
          <w:sz w:val="24"/>
          <w:szCs w:val="24"/>
          <w:lang w:eastAsia="zh-CN"/>
        </w:rPr>
        <w:t>考核</w:t>
      </w:r>
      <w:r>
        <w:rPr>
          <w:rFonts w:ascii="宋体" w:hAnsi="宋体"/>
          <w:spacing w:val="-9"/>
          <w:sz w:val="24"/>
          <w:szCs w:val="24"/>
          <w:lang w:eastAsia="zh-CN"/>
        </w:rPr>
        <w:t>、结算送审及下一年度的管养交</w:t>
      </w:r>
      <w:r>
        <w:rPr>
          <w:rFonts w:ascii="宋体" w:hAnsi="宋体"/>
          <w:sz w:val="24"/>
          <w:szCs w:val="24"/>
          <w:lang w:eastAsia="zh-CN"/>
        </w:rPr>
        <w:t>接工作。</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九</w:t>
      </w:r>
      <w:r>
        <w:rPr>
          <w:rFonts w:ascii="黑体" w:hAnsi="黑体" w:eastAsia="黑体"/>
          <w:b/>
          <w:sz w:val="28"/>
          <w:lang w:eastAsia="zh-CN"/>
        </w:rPr>
        <w:t>条 咨询服务资料归属</w:t>
      </w:r>
    </w:p>
    <w:p>
      <w:pPr>
        <w:pStyle w:val="2"/>
        <w:spacing w:after="0" w:line="360" w:lineRule="auto"/>
        <w:ind w:left="0" w:firstLine="480" w:firstLineChars="200"/>
        <w:jc w:val="both"/>
      </w:pPr>
      <w:r>
        <w:t>1、所有提交给甲方的咨询服务文件及相关的资料的最后文本，包括为履行技术咨</w:t>
      </w:r>
      <w:r>
        <w:rPr>
          <w:spacing w:val="-5"/>
        </w:rPr>
        <w:t>询服务范围所编制的图纸、计划和证明资料等，都属于甲方的财产，乙方在提交给甲方</w:t>
      </w:r>
      <w:r>
        <w:t>之前应将上述资料进行整理归类和编制索引。</w:t>
      </w:r>
    </w:p>
    <w:p>
      <w:pPr>
        <w:pStyle w:val="2"/>
        <w:spacing w:after="0" w:line="360" w:lineRule="auto"/>
        <w:ind w:left="0" w:firstLine="480" w:firstLineChars="200"/>
        <w:jc w:val="both"/>
      </w:pPr>
      <w:r>
        <w:t>2、乙方未经甲方的书面同意，不得将上述资料用于与本咨询服务项目之外的任何项目。</w:t>
      </w:r>
    </w:p>
    <w:p>
      <w:pPr>
        <w:pStyle w:val="2"/>
        <w:spacing w:after="0" w:line="360" w:lineRule="auto"/>
        <w:ind w:left="0" w:firstLine="480" w:firstLineChars="200"/>
        <w:jc w:val="both"/>
      </w:pPr>
      <w:r>
        <w:t>3、合同履行完毕，未经甲方的书面同意，乙方不得保存在履行合同过程中所获得或接触到的任何内部数据资料。</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十</w:t>
      </w:r>
      <w:r>
        <w:rPr>
          <w:rFonts w:ascii="黑体" w:hAnsi="黑体" w:eastAsia="黑体"/>
          <w:b/>
          <w:sz w:val="28"/>
          <w:lang w:eastAsia="zh-CN"/>
        </w:rPr>
        <w:t>条 甲方权利义务</w:t>
      </w:r>
    </w:p>
    <w:p>
      <w:pPr>
        <w:pStyle w:val="2"/>
        <w:spacing w:after="0" w:line="360" w:lineRule="auto"/>
        <w:ind w:left="0" w:firstLine="476" w:firstLineChars="200"/>
        <w:jc w:val="both"/>
        <w:rPr>
          <w:lang w:val="en-US"/>
        </w:rPr>
      </w:pPr>
      <w:r>
        <w:rPr>
          <w:spacing w:val="-1"/>
        </w:rPr>
        <w:t>1</w:t>
      </w:r>
      <w:r>
        <w:t>、甲方有权委派</w:t>
      </w:r>
      <w:r>
        <w:rPr>
          <w:rFonts w:hint="eastAsia"/>
          <w:lang w:val="en-US"/>
        </w:rPr>
        <w:t>第三方监管</w:t>
      </w:r>
      <w:r>
        <w:t>负责</w:t>
      </w:r>
      <w:r>
        <w:rPr>
          <w:rFonts w:hint="eastAsia"/>
          <w:lang w:val="en-US"/>
        </w:rPr>
        <w:t>监管</w:t>
      </w:r>
      <w:r>
        <w:t>工作</w:t>
      </w:r>
      <w:r>
        <w:rPr>
          <w:rFonts w:hint="eastAsia"/>
          <w:lang w:val="en-US"/>
        </w:rPr>
        <w:t>对项目结算报告进行审核。</w:t>
      </w:r>
    </w:p>
    <w:p>
      <w:pPr>
        <w:pStyle w:val="2"/>
        <w:spacing w:after="0" w:line="360" w:lineRule="auto"/>
        <w:ind w:left="0" w:firstLine="476" w:firstLineChars="200"/>
        <w:jc w:val="both"/>
      </w:pPr>
      <w:r>
        <w:rPr>
          <w:spacing w:val="-1"/>
        </w:rPr>
        <w:t>2</w:t>
      </w:r>
      <w:r>
        <w:t>、甲方负责资金的落实并按照合同约定的支付办法及时向乙方支付合同款</w:t>
      </w:r>
      <w:r>
        <w:rPr>
          <w:rFonts w:hint="eastAsia"/>
        </w:rPr>
        <w:t>，</w:t>
      </w:r>
      <w:r>
        <w:t>因深汕特别合作区对甲方管养费用的拨付程序等政策上的因素造成付款滞后</w:t>
      </w:r>
      <w:r>
        <w:rPr>
          <w:rFonts w:hint="eastAsia"/>
        </w:rPr>
        <w:t>，</w:t>
      </w:r>
      <w:r>
        <w:t>乙方须予以谅解。</w:t>
      </w:r>
    </w:p>
    <w:p>
      <w:pPr>
        <w:pStyle w:val="2"/>
        <w:spacing w:after="0" w:line="360" w:lineRule="auto"/>
        <w:ind w:left="0" w:firstLine="480" w:firstLineChars="200"/>
        <w:jc w:val="both"/>
      </w:pPr>
      <w:r>
        <w:t>3、甲方有权对乙方工作进行监督管理、检查、指导。</w:t>
      </w:r>
    </w:p>
    <w:p>
      <w:pPr>
        <w:pStyle w:val="2"/>
        <w:spacing w:after="0" w:line="360" w:lineRule="auto"/>
        <w:ind w:left="0" w:firstLine="480" w:firstLineChars="200"/>
        <w:jc w:val="both"/>
      </w:pPr>
      <w:r>
        <w:t>4、全面负责管养的监督管理工作，对合同的执行情况进行总体监督。</w:t>
      </w:r>
    </w:p>
    <w:p>
      <w:pPr>
        <w:pStyle w:val="2"/>
        <w:spacing w:after="0" w:line="360" w:lineRule="auto"/>
        <w:ind w:left="0" w:firstLine="480" w:firstLineChars="200"/>
        <w:jc w:val="both"/>
      </w:pPr>
      <w:r>
        <w:t>5、组织对管养情况的监督检查及考核，根据管养要求及合同检查管养效果。</w:t>
      </w:r>
    </w:p>
    <w:p>
      <w:pPr>
        <w:pStyle w:val="2"/>
        <w:spacing w:after="0" w:line="360" w:lineRule="auto"/>
        <w:ind w:left="0" w:firstLine="480" w:firstLineChars="200"/>
        <w:jc w:val="both"/>
      </w:pPr>
      <w:r>
        <w:t>6、若出现重大事件、突发事件或工作量变化较大时可根据需要要求乙方增加或减少养护人员或安保人员等。</w:t>
      </w:r>
    </w:p>
    <w:p>
      <w:pPr>
        <w:pStyle w:val="2"/>
        <w:spacing w:after="0" w:line="360" w:lineRule="auto"/>
        <w:ind w:left="0" w:firstLine="480" w:firstLineChars="200"/>
        <w:jc w:val="both"/>
      </w:pPr>
      <w:r>
        <w:t>7、协助养护工作中与其它相关单位的协调工作。</w:t>
      </w:r>
    </w:p>
    <w:p>
      <w:pPr>
        <w:pStyle w:val="2"/>
        <w:spacing w:after="0" w:line="360" w:lineRule="auto"/>
        <w:ind w:firstLine="240" w:firstLineChars="100"/>
        <w:jc w:val="both"/>
      </w:pPr>
      <w:r>
        <w:rPr>
          <w:rFonts w:hint="eastAsia"/>
        </w:rPr>
        <w:t>8、甲方有权责令乙方公司在发生乙方项目</w:t>
      </w:r>
      <w:r>
        <w:rPr>
          <w:rFonts w:hint="eastAsia"/>
          <w:lang w:val="en-US"/>
        </w:rPr>
        <w:t>团队人员</w:t>
      </w:r>
      <w:r>
        <w:rPr>
          <w:rFonts w:hint="eastAsia"/>
        </w:rPr>
        <w:t>在工作过程中发生不配合、工作未能及时落实等情况，限时内更换项目</w:t>
      </w:r>
      <w:r>
        <w:rPr>
          <w:rFonts w:hint="eastAsia"/>
          <w:lang w:val="en-US"/>
        </w:rPr>
        <w:t>团队人员</w:t>
      </w:r>
      <w:r>
        <w:rPr>
          <w:rFonts w:hint="eastAsia"/>
        </w:rPr>
        <w:t>。</w:t>
      </w:r>
    </w:p>
    <w:p>
      <w:pPr>
        <w:pStyle w:val="2"/>
        <w:spacing w:after="0" w:line="360" w:lineRule="auto"/>
        <w:ind w:left="0" w:firstLine="480" w:firstLineChars="200"/>
        <w:jc w:val="both"/>
      </w:pPr>
      <w:r>
        <w:rPr>
          <w:rFonts w:hint="eastAsia"/>
        </w:rPr>
        <w:t>9、甲方有权在乙方出现超出甲方及相关政府主管部门根据本合同及相关政策、法规、条例等要求配合的工作事项在限定时间内未能执行时，视情节严重程度对乙方的年度、季度考核在总分上额外扣除1-5分及处相应罚款。</w:t>
      </w:r>
    </w:p>
    <w:p>
      <w:pPr>
        <w:pStyle w:val="2"/>
        <w:spacing w:after="0" w:line="360" w:lineRule="auto"/>
        <w:ind w:left="0" w:firstLine="480" w:firstLineChars="200"/>
        <w:jc w:val="both"/>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一</w:t>
      </w:r>
      <w:r>
        <w:rPr>
          <w:rFonts w:ascii="黑体" w:hAnsi="黑体" w:eastAsia="黑体"/>
          <w:b/>
          <w:sz w:val="28"/>
          <w:lang w:eastAsia="zh-CN"/>
        </w:rPr>
        <w:t>条</w:t>
      </w:r>
      <w:r>
        <w:rPr>
          <w:rFonts w:hint="eastAsia" w:ascii="黑体" w:hAnsi="黑体" w:eastAsia="黑体"/>
          <w:b/>
          <w:sz w:val="28"/>
          <w:lang w:eastAsia="zh-CN"/>
        </w:rPr>
        <w:t xml:space="preserve"> </w:t>
      </w:r>
      <w:r>
        <w:rPr>
          <w:rFonts w:ascii="黑体" w:hAnsi="黑体" w:eastAsia="黑体"/>
          <w:b/>
          <w:sz w:val="28"/>
          <w:lang w:eastAsia="zh-CN"/>
        </w:rPr>
        <w:t>乙方权利义务</w:t>
      </w:r>
    </w:p>
    <w:p>
      <w:pPr>
        <w:pStyle w:val="2"/>
        <w:spacing w:after="0" w:line="360" w:lineRule="auto"/>
        <w:ind w:left="0" w:firstLine="480" w:firstLineChars="200"/>
        <w:jc w:val="both"/>
      </w:pPr>
      <w:r>
        <w:t>1、按照本合同确定的管养范围，根据考核情况取得相应确定的管养经费。</w:t>
      </w:r>
    </w:p>
    <w:p>
      <w:pPr>
        <w:pStyle w:val="2"/>
        <w:spacing w:after="0" w:line="360" w:lineRule="auto"/>
        <w:ind w:left="0" w:firstLine="480" w:firstLineChars="200"/>
        <w:jc w:val="both"/>
      </w:pPr>
      <w:r>
        <w:t>2、按照确定的管养经费制定管养计划，安排日常管养工作。</w:t>
      </w:r>
    </w:p>
    <w:p>
      <w:pPr>
        <w:pStyle w:val="2"/>
        <w:spacing w:after="0" w:line="360" w:lineRule="auto"/>
        <w:ind w:left="0" w:firstLine="480" w:firstLineChars="200"/>
        <w:jc w:val="both"/>
      </w:pPr>
      <w:r>
        <w:t>3、接受甲方（含其委托的</w:t>
      </w:r>
      <w:r>
        <w:rPr>
          <w:rFonts w:hint="eastAsia"/>
          <w:lang w:val="en-US"/>
        </w:rPr>
        <w:t>第三方监管</w:t>
      </w:r>
      <w:r>
        <w:t>单位）的工作指导及工作检查、安排。</w:t>
      </w:r>
    </w:p>
    <w:p>
      <w:pPr>
        <w:pStyle w:val="2"/>
        <w:spacing w:after="0" w:line="360" w:lineRule="auto"/>
        <w:ind w:left="0" w:firstLine="480" w:firstLineChars="200"/>
        <w:jc w:val="both"/>
      </w:pPr>
      <w:r>
        <w:t>4、为加强管理、妥善地履行合同的义务，乙方应委派相关人员，并保持其岗位的相对稳定。</w:t>
      </w:r>
    </w:p>
    <w:p>
      <w:pPr>
        <w:pStyle w:val="2"/>
        <w:spacing w:after="0" w:line="360" w:lineRule="auto"/>
        <w:ind w:left="0" w:firstLine="480" w:firstLineChars="200"/>
        <w:jc w:val="both"/>
      </w:pPr>
      <w:r>
        <w:t>5、避免由于乙方的责任造成现场工作人员以及过往群众的</w:t>
      </w:r>
      <w:r>
        <w:rPr>
          <w:rFonts w:hint="eastAsia"/>
          <w:lang w:val="en-US"/>
        </w:rPr>
        <w:t>人身财产</w:t>
      </w:r>
      <w:r>
        <w:t>安全</w:t>
      </w:r>
      <w:r>
        <w:rPr>
          <w:rFonts w:hint="eastAsia"/>
          <w:lang w:val="en-US"/>
        </w:rPr>
        <w:t>受损</w:t>
      </w:r>
      <w:r>
        <w:t>，采取有效措施使现场和本合同的实施有条不紊，以免使上述人员的安全受到威胁。</w:t>
      </w:r>
    </w:p>
    <w:p>
      <w:pPr>
        <w:pStyle w:val="2"/>
        <w:spacing w:after="0" w:line="360" w:lineRule="auto"/>
        <w:ind w:left="0" w:firstLine="480" w:firstLineChars="200"/>
        <w:jc w:val="both"/>
      </w:pPr>
      <w:r>
        <w:t>6、乙方</w:t>
      </w:r>
      <w:r>
        <w:rPr>
          <w:rFonts w:hint="eastAsia"/>
          <w:lang w:val="en-US"/>
        </w:rPr>
        <w:t>对项目管理养护人员的安全负责，负责工作人员的福利、工资和社会保险及人身意外伤害保险等因项目产生的一切项目支出，</w:t>
      </w:r>
      <w:r>
        <w:t>应当按照本合同约定履行义务，完成管养任务。</w:t>
      </w:r>
    </w:p>
    <w:p>
      <w:pPr>
        <w:pStyle w:val="2"/>
        <w:spacing w:after="0" w:line="360" w:lineRule="auto"/>
        <w:ind w:left="0" w:firstLine="480" w:firstLineChars="200"/>
        <w:jc w:val="both"/>
      </w:pPr>
      <w:r>
        <w:t>7、发生重大事件后应及时上报甲方。</w:t>
      </w:r>
    </w:p>
    <w:p>
      <w:pPr>
        <w:pStyle w:val="2"/>
        <w:spacing w:after="0" w:line="360" w:lineRule="auto"/>
        <w:ind w:left="0" w:firstLine="480" w:firstLineChars="200"/>
        <w:jc w:val="both"/>
        <w:rPr>
          <w:lang w:val="en-US"/>
        </w:rPr>
      </w:pPr>
      <w:r>
        <w:rPr>
          <w:rFonts w:hint="eastAsia"/>
        </w:rPr>
        <w:t>8、</w:t>
      </w:r>
      <w:r>
        <w:rPr>
          <w:rFonts w:hint="eastAsia"/>
          <w:highlight w:val="yellow"/>
        </w:rPr>
        <w:t>根据管养设施维修或抢修估算费用，明确维修实施主体。维修或抢修估算费用在2万元以下（含2万元，</w:t>
      </w:r>
      <w:r>
        <w:rPr>
          <w:rFonts w:hint="eastAsia"/>
          <w:highlight w:val="yellow"/>
          <w:lang w:val="en-US"/>
        </w:rPr>
        <w:t>以甲方组织的第三方造价审核为准</w:t>
      </w:r>
      <w:r>
        <w:rPr>
          <w:rFonts w:hint="eastAsia"/>
          <w:highlight w:val="yellow"/>
        </w:rPr>
        <w:t>）的，由乙方自行组织实施，</w:t>
      </w:r>
      <w:r>
        <w:rPr>
          <w:rFonts w:hint="eastAsia"/>
          <w:highlight w:val="yellow"/>
          <w:lang w:val="en-US"/>
        </w:rPr>
        <w:t>提供所投入人员、设备、机械、物料清单，甲方及时组织验收，除甲方审核同意需合并实施的项目外，禁止乙方为提高维修费用合并项目上报</w:t>
      </w:r>
      <w:r>
        <w:rPr>
          <w:rFonts w:hint="eastAsia"/>
          <w:highlight w:val="yellow"/>
        </w:rPr>
        <w:t>；维修或抢修估算费用在2</w:t>
      </w:r>
      <w:r>
        <w:rPr>
          <w:rFonts w:hint="eastAsia"/>
          <w:highlight w:val="yellow"/>
          <w:lang w:val="en-US"/>
        </w:rPr>
        <w:t>万以上的，</w:t>
      </w:r>
      <w:r>
        <w:rPr>
          <w:rFonts w:hint="eastAsia"/>
          <w:highlight w:val="yellow"/>
        </w:rPr>
        <w:t>由甲方研究决定实施主体。</w:t>
      </w:r>
      <w:r>
        <w:rPr>
          <w:rFonts w:hint="eastAsia"/>
          <w:highlight w:val="yellow"/>
          <w:lang w:val="en-US"/>
        </w:rPr>
        <w:t>维修或抢修工程应遵守质量、安全等法律法规，编制维修或抢修工程档案（包括巡查发现的记录，工程资料档案、维修或抢修前后的对比实物图片、视频等）。</w:t>
      </w:r>
    </w:p>
    <w:p>
      <w:pPr>
        <w:pStyle w:val="2"/>
        <w:spacing w:after="0" w:line="360" w:lineRule="auto"/>
        <w:ind w:left="0" w:firstLine="480" w:firstLineChars="200"/>
        <w:jc w:val="both"/>
      </w:pPr>
      <w:r>
        <w:rPr>
          <w:rFonts w:hint="eastAsia"/>
          <w:lang w:val="en-US"/>
        </w:rPr>
        <w:t>小型维修工程采用工程量清单计价方式，工程修理和设施完善应制定项目实施计划和实施方案，做好质量、安全、进度和投资控制，工程完成后应按规定组织验收，并做好资料归档。</w:t>
      </w:r>
    </w:p>
    <w:p>
      <w:pPr>
        <w:pStyle w:val="2"/>
        <w:spacing w:after="0" w:line="360" w:lineRule="auto"/>
        <w:ind w:left="0" w:firstLine="480" w:firstLineChars="200"/>
        <w:jc w:val="both"/>
      </w:pPr>
      <w:r>
        <w:t>9、</w:t>
      </w:r>
      <w:r>
        <w:rPr>
          <w:rFonts w:hint="eastAsia"/>
          <w:lang w:val="en-US"/>
        </w:rPr>
        <w:t>编制规范、完整的项目结算报告，</w:t>
      </w:r>
      <w:r>
        <w:t>协助、接受项目后续审计工作。</w:t>
      </w:r>
    </w:p>
    <w:p>
      <w:pPr>
        <w:pStyle w:val="2"/>
        <w:spacing w:after="0" w:line="360" w:lineRule="auto"/>
        <w:ind w:left="0" w:firstLine="480" w:firstLineChars="200"/>
        <w:jc w:val="both"/>
        <w:rPr>
          <w:lang w:val="en-US"/>
        </w:rPr>
      </w:pPr>
      <w:r>
        <w:rPr>
          <w:rFonts w:hint="eastAsia"/>
          <w:lang w:val="en-US"/>
        </w:rPr>
        <w:t>10、在年终考核完成后一个月内，乙方完成编制项目结算文件，配合甲方实施项目结算、审计。</w:t>
      </w:r>
    </w:p>
    <w:p>
      <w:pPr>
        <w:pStyle w:val="18"/>
        <w:rPr>
          <w:lang w:eastAsia="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二</w:t>
      </w:r>
      <w:r>
        <w:rPr>
          <w:rFonts w:ascii="黑体" w:hAnsi="黑体" w:eastAsia="黑体"/>
          <w:b/>
          <w:sz w:val="28"/>
          <w:lang w:eastAsia="zh-CN"/>
        </w:rPr>
        <w:t>条 违约、索赔和争议</w:t>
      </w:r>
    </w:p>
    <w:p>
      <w:pPr>
        <w:spacing w:after="0" w:line="360" w:lineRule="auto"/>
        <w:jc w:val="both"/>
        <w:outlineLvl w:val="1"/>
        <w:rPr>
          <w:rFonts w:ascii="宋体" w:hAnsi="宋体"/>
          <w:b/>
          <w:sz w:val="24"/>
          <w:lang w:eastAsia="zh-CN"/>
        </w:rPr>
      </w:pPr>
      <w:r>
        <w:rPr>
          <w:rFonts w:hint="eastAsia" w:ascii="宋体" w:hAnsi="宋体"/>
          <w:b/>
          <w:sz w:val="24"/>
          <w:lang w:eastAsia="zh-CN"/>
        </w:rPr>
        <w:t>1、</w:t>
      </w:r>
      <w:r>
        <w:rPr>
          <w:rFonts w:ascii="宋体" w:hAnsi="宋体"/>
          <w:b/>
          <w:sz w:val="24"/>
          <w:lang w:eastAsia="zh-CN"/>
        </w:rPr>
        <w:t>违约</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A、一般违约事项处置</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任何一方在本合同履行过程中违反本合同的任何一款约定时，守约方均可以对违约方提出警告，并要求其在一定期间内予以改正。</w:t>
      </w:r>
    </w:p>
    <w:p>
      <w:pPr>
        <w:pStyle w:val="2"/>
        <w:spacing w:after="0" w:line="360" w:lineRule="auto"/>
        <w:ind w:left="0" w:firstLine="480" w:firstLineChars="200"/>
        <w:jc w:val="both"/>
      </w:pPr>
      <w:r>
        <w:rPr>
          <w:rFonts w:hint="eastAsia"/>
        </w:rPr>
        <w:t>改正期届满违约方仍未改正或者虽有改正但仍无法满足本合同要求的，守约方可以根据违约情节要求违约方支付不超过人民币20万元的违约金，并再次要求违约方限期改正。</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B、乙方根本违约事项</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乙方的经营过程中，发生以下事项之一的，甲方可以直接解除本合同、收回管养劳务外包项目，</w:t>
      </w:r>
      <w:r>
        <w:rPr>
          <w:rFonts w:hint="eastAsia" w:ascii="宋体" w:hAnsi="宋体"/>
          <w:sz w:val="24"/>
          <w:szCs w:val="24"/>
          <w:lang w:eastAsia="zh-Hans"/>
        </w:rPr>
        <w:t>并要求乙方支付合同总价</w:t>
      </w:r>
      <w:r>
        <w:rPr>
          <w:rFonts w:ascii="宋体" w:hAnsi="宋体"/>
          <w:sz w:val="24"/>
          <w:szCs w:val="24"/>
          <w:lang w:eastAsia="zh-Hans"/>
        </w:rPr>
        <w:t>20%</w:t>
      </w:r>
      <w:r>
        <w:rPr>
          <w:rFonts w:hint="eastAsia" w:ascii="宋体" w:hAnsi="宋体"/>
          <w:sz w:val="24"/>
          <w:szCs w:val="24"/>
          <w:lang w:eastAsia="zh-Hans"/>
        </w:rPr>
        <w:t>违约金</w:t>
      </w:r>
      <w:r>
        <w:rPr>
          <w:rFonts w:ascii="宋体" w:hAnsi="宋体"/>
          <w:sz w:val="24"/>
          <w:szCs w:val="24"/>
          <w:lang w:eastAsia="zh-Hans"/>
        </w:rPr>
        <w:t>；</w:t>
      </w:r>
      <w:r>
        <w:rPr>
          <w:rFonts w:hint="eastAsia" w:ascii="宋体" w:hAnsi="宋体"/>
          <w:sz w:val="24"/>
          <w:szCs w:val="24"/>
          <w:lang w:eastAsia="zh-Hans"/>
        </w:rPr>
        <w:t>给甲方造成损失的</w:t>
      </w:r>
      <w:r>
        <w:rPr>
          <w:rFonts w:ascii="宋体" w:hAnsi="宋体"/>
          <w:sz w:val="24"/>
          <w:szCs w:val="24"/>
          <w:lang w:eastAsia="zh-Hans"/>
        </w:rPr>
        <w:t>，</w:t>
      </w:r>
      <w:r>
        <w:rPr>
          <w:rFonts w:hint="eastAsia" w:ascii="宋体" w:hAnsi="宋体"/>
          <w:sz w:val="24"/>
          <w:szCs w:val="24"/>
          <w:lang w:eastAsia="zh-Hans"/>
        </w:rPr>
        <w:t>还应赔偿损失</w:t>
      </w:r>
      <w:r>
        <w:rPr>
          <w:rFonts w:hint="eastAsia" w:ascii="宋体" w:hAnsi="宋体"/>
          <w:sz w:val="24"/>
          <w:szCs w:val="24"/>
          <w:lang w:eastAsia="zh-CN"/>
        </w:rPr>
        <w:t>：</w:t>
      </w:r>
      <w:r>
        <w:rPr>
          <w:rFonts w:ascii="宋体" w:hAnsi="宋体"/>
          <w:sz w:val="24"/>
          <w:szCs w:val="24"/>
          <w:lang w:eastAsia="zh-CN"/>
        </w:rPr>
        <w:t xml:space="preserve"> </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（1）未按照合同和技术规范要求实施河道、水库管养工作，经两次书面催办，限定期限内未完成整改及时回复的。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（2）无正当理由拒绝接收甲方移交的水务设施或者无正当理由拒绝在水务设施移交记录上签字的；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（3）未经甲方批准，擅自转让、出租、质押管养劳务外包项目的；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（4）未经甲方批准，擅自停止运营造成较为严重后果；</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（5）发生较大安全责任事故或者造成极为恶劣的社会影响；</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（6）违反市政规划，擅自更改河道线路而拒不改正；</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（7）拒绝接受甲方及有关行政主管部门的监督管理，情节严重的；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（8）乙方继续运营将危及公共安全或者严重损害公共利益；</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（9）因乙方工作失误，发生较大安全事故。</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（10）因乙方原因，拖欠农民工、管养人员工资，引起上访事件，并导致恶劣社会影响。</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法律、法规、规章规定及本合同约定的其他情形。</w:t>
      </w:r>
    </w:p>
    <w:p>
      <w:pPr>
        <w:tabs>
          <w:tab w:val="left" w:pos="1320"/>
        </w:tabs>
        <w:spacing w:after="0" w:line="360" w:lineRule="auto"/>
        <w:ind w:firstLine="480" w:firstLineChars="200"/>
        <w:jc w:val="both"/>
        <w:rPr>
          <w:rFonts w:ascii="宋体" w:hAnsi="宋体"/>
          <w:spacing w:val="-4"/>
          <w:sz w:val="24"/>
          <w:szCs w:val="24"/>
          <w:u w:val="single"/>
          <w:lang w:eastAsia="zh-CN"/>
        </w:rPr>
      </w:pPr>
      <w:r>
        <w:rPr>
          <w:rFonts w:hint="eastAsia" w:ascii="宋体" w:hAnsi="宋体"/>
          <w:sz w:val="24"/>
          <w:szCs w:val="24"/>
          <w:lang w:eastAsia="zh-CN"/>
        </w:rPr>
        <w:t>C、甲方根本违约事项</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有以下所列任一事项发生，乙方有权直接解除本合同：</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（1）甲方未能按照本合同的约定向乙方支付运营费超过六个月，经乙方发出催款通知之日起超过一个月仍未能履行付款义务；但因财政支付程序导致的延迟付款，甲方不承担违约责任；</w:t>
      </w:r>
    </w:p>
    <w:p>
      <w:pPr>
        <w:pStyle w:val="2"/>
        <w:spacing w:after="0" w:line="360" w:lineRule="auto"/>
        <w:ind w:left="0" w:firstLine="464" w:firstLineChars="200"/>
        <w:jc w:val="both"/>
      </w:pPr>
      <w:r>
        <w:rPr>
          <w:rFonts w:hint="eastAsia" w:cs="Times New Roman"/>
          <w:spacing w:val="-4"/>
          <w:u w:val="single"/>
          <w:lang w:val="en-US" w:bidi="ar-SA"/>
        </w:rPr>
        <w:t>（2）法律、法规、规章规定及本合同约定的其他情形。</w:t>
      </w:r>
    </w:p>
    <w:p>
      <w:pPr>
        <w:spacing w:after="0" w:line="360" w:lineRule="auto"/>
        <w:jc w:val="both"/>
        <w:outlineLvl w:val="1"/>
        <w:rPr>
          <w:rFonts w:ascii="宋体" w:hAnsi="宋体"/>
          <w:b/>
          <w:sz w:val="24"/>
          <w:highlight w:val="yellow"/>
          <w:lang w:eastAsia="zh-CN"/>
        </w:rPr>
      </w:pPr>
      <w:r>
        <w:rPr>
          <w:rFonts w:ascii="宋体" w:hAnsi="宋体"/>
          <w:b/>
          <w:sz w:val="24"/>
          <w:highlight w:val="yellow"/>
          <w:lang w:eastAsia="zh-CN"/>
        </w:rPr>
        <w:t>2、索赔和争议</w:t>
      </w:r>
    </w:p>
    <w:p>
      <w:pPr>
        <w:pStyle w:val="2"/>
        <w:tabs>
          <w:tab w:val="left" w:pos="1798"/>
        </w:tabs>
        <w:spacing w:after="0" w:line="360" w:lineRule="auto"/>
        <w:ind w:left="0" w:firstLine="480" w:firstLineChars="200"/>
        <w:jc w:val="both"/>
        <w:rPr>
          <w:highlight w:val="yellow"/>
        </w:rPr>
      </w:pPr>
      <w:r>
        <w:rPr>
          <w:highlight w:val="yellow"/>
        </w:rPr>
        <w:t>双方因履行本合同而发生的争议</w:t>
      </w:r>
      <w:r>
        <w:rPr>
          <w:spacing w:val="-10"/>
          <w:highlight w:val="yellow"/>
        </w:rPr>
        <w:t>，</w:t>
      </w:r>
      <w:r>
        <w:rPr>
          <w:highlight w:val="yellow"/>
        </w:rPr>
        <w:t>应协商</w:t>
      </w:r>
      <w:r>
        <w:rPr>
          <w:spacing w:val="-10"/>
          <w:highlight w:val="yellow"/>
        </w:rPr>
        <w:t>、</w:t>
      </w:r>
      <w:r>
        <w:rPr>
          <w:highlight w:val="yellow"/>
        </w:rPr>
        <w:t>调解解决</w:t>
      </w:r>
      <w:r>
        <w:rPr>
          <w:spacing w:val="-10"/>
          <w:highlight w:val="yellow"/>
        </w:rPr>
        <w:t>。</w:t>
      </w:r>
      <w:r>
        <w:rPr>
          <w:highlight w:val="yellow"/>
        </w:rPr>
        <w:t>协商</w:t>
      </w:r>
      <w:r>
        <w:rPr>
          <w:spacing w:val="-10"/>
          <w:highlight w:val="yellow"/>
        </w:rPr>
        <w:t>、</w:t>
      </w:r>
      <w:r>
        <w:rPr>
          <w:highlight w:val="yellow"/>
        </w:rPr>
        <w:t>调解不成的</w:t>
      </w:r>
      <w:r>
        <w:rPr>
          <w:spacing w:val="-10"/>
          <w:highlight w:val="yellow"/>
        </w:rPr>
        <w:t>，</w:t>
      </w:r>
      <w:r>
        <w:rPr>
          <w:highlight w:val="yellow"/>
        </w:rPr>
        <w:t>确定</w:t>
      </w:r>
      <w:r>
        <w:rPr>
          <w:spacing w:val="-15"/>
          <w:highlight w:val="yellow"/>
        </w:rPr>
        <w:t>按</w:t>
      </w:r>
      <w:r>
        <w:rPr>
          <w:highlight w:val="yellow"/>
        </w:rPr>
        <w:t>以下第</w:t>
      </w:r>
      <w:r>
        <w:rPr>
          <w:highlight w:val="yellow"/>
          <w:u w:val="single"/>
        </w:rPr>
        <w:t xml:space="preserve"> </w:t>
      </w:r>
      <w:r>
        <w:rPr>
          <w:spacing w:val="119"/>
          <w:highlight w:val="yellow"/>
          <w:u w:val="single"/>
        </w:rPr>
        <w:t xml:space="preserve"> </w:t>
      </w:r>
      <w:r>
        <w:rPr>
          <w:highlight w:val="yellow"/>
          <w:u w:val="single"/>
        </w:rPr>
        <w:t xml:space="preserve">2   </w:t>
      </w:r>
      <w:r>
        <w:rPr>
          <w:highlight w:val="yellow"/>
        </w:rPr>
        <w:t>种方式处理：</w:t>
      </w:r>
    </w:p>
    <w:p>
      <w:pPr>
        <w:pStyle w:val="2"/>
        <w:tabs>
          <w:tab w:val="left" w:pos="2519"/>
        </w:tabs>
        <w:spacing w:after="0" w:line="360" w:lineRule="auto"/>
        <w:ind w:left="0" w:firstLine="480" w:firstLineChars="200"/>
        <w:jc w:val="both"/>
        <w:rPr>
          <w:highlight w:val="yellow"/>
        </w:rPr>
      </w:pPr>
      <w:r>
        <w:rPr>
          <w:highlight w:val="yellow"/>
        </w:rPr>
        <w:t>1、提交</w:t>
      </w:r>
      <w:r>
        <w:rPr>
          <w:spacing w:val="119"/>
          <w:highlight w:val="yellow"/>
          <w:u w:val="single"/>
        </w:rPr>
        <w:t xml:space="preserve"> </w:t>
      </w:r>
      <w:r>
        <w:rPr>
          <w:highlight w:val="yellow"/>
          <w:u w:val="single"/>
        </w:rPr>
        <w:t>深圳  仲</w:t>
      </w:r>
      <w:r>
        <w:rPr>
          <w:highlight w:val="yellow"/>
        </w:rPr>
        <w:t>裁委员会仲裁；</w:t>
      </w:r>
    </w:p>
    <w:p>
      <w:pPr>
        <w:pStyle w:val="2"/>
        <w:spacing w:after="0" w:line="360" w:lineRule="auto"/>
        <w:ind w:left="0" w:firstLine="480" w:firstLineChars="200"/>
        <w:jc w:val="both"/>
        <w:rPr>
          <w:highlight w:val="yellow"/>
        </w:rPr>
      </w:pPr>
      <w:r>
        <w:rPr>
          <w:highlight w:val="yellow"/>
        </w:rPr>
        <w:t>2、依法向</w:t>
      </w:r>
      <w:r>
        <w:rPr>
          <w:rFonts w:hint="eastAsia"/>
          <w:highlight w:val="yellow"/>
        </w:rPr>
        <w:t>甲</w:t>
      </w:r>
      <w:r>
        <w:rPr>
          <w:highlight w:val="yellow"/>
        </w:rPr>
        <w:t>方所在地人民法院起诉。</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三</w:t>
      </w:r>
      <w:r>
        <w:rPr>
          <w:rFonts w:ascii="黑体" w:hAnsi="黑体" w:eastAsia="黑体"/>
          <w:b/>
          <w:sz w:val="28"/>
          <w:lang w:eastAsia="zh-CN"/>
        </w:rPr>
        <w:t>条 不可抗力</w:t>
      </w:r>
    </w:p>
    <w:p>
      <w:pPr>
        <w:pStyle w:val="2"/>
        <w:spacing w:after="0" w:line="360" w:lineRule="auto"/>
        <w:ind w:left="0" w:firstLine="480" w:firstLineChars="200"/>
        <w:jc w:val="both"/>
      </w:pPr>
      <w:r>
        <w:t>甲乙双方约定的其他不可抗力：</w:t>
      </w:r>
    </w:p>
    <w:p>
      <w:pPr>
        <w:pStyle w:val="2"/>
        <w:spacing w:after="0" w:line="360" w:lineRule="auto"/>
        <w:ind w:left="0" w:firstLine="480" w:firstLineChars="200"/>
        <w:jc w:val="both"/>
      </w:pPr>
      <w:r>
        <w:t xml:space="preserve">1、平均风力 </w:t>
      </w:r>
      <w:r>
        <w:rPr>
          <w:u w:val="single"/>
        </w:rPr>
        <w:t>8</w:t>
      </w:r>
      <w:r>
        <w:t xml:space="preserve"> 级以上的大风；</w:t>
      </w:r>
    </w:p>
    <w:p>
      <w:pPr>
        <w:pStyle w:val="2"/>
        <w:spacing w:after="0" w:line="360" w:lineRule="auto"/>
        <w:ind w:left="0" w:firstLine="480" w:firstLineChars="200"/>
        <w:jc w:val="both"/>
      </w:pPr>
      <w:r>
        <w:rPr>
          <w:highlight w:val="yellow"/>
        </w:rPr>
        <w:t xml:space="preserve">2、3 个小时内降雨量为 </w:t>
      </w:r>
      <w:r>
        <w:rPr>
          <w:highlight w:val="yellow"/>
          <w:u w:val="single"/>
        </w:rPr>
        <w:t>150</w:t>
      </w:r>
      <w:r>
        <w:rPr>
          <w:highlight w:val="yellow"/>
        </w:rPr>
        <w:t>mm 以上的暴雨；</w:t>
      </w:r>
    </w:p>
    <w:p>
      <w:pPr>
        <w:pStyle w:val="2"/>
        <w:spacing w:after="0" w:line="360" w:lineRule="auto"/>
        <w:ind w:left="0" w:firstLine="480" w:firstLineChars="200"/>
        <w:jc w:val="both"/>
      </w:pPr>
      <w:r>
        <w:t>3、</w:t>
      </w:r>
      <w:r>
        <w:rPr>
          <w:u w:val="single"/>
        </w:rPr>
        <w:t>37</w:t>
      </w:r>
      <w:r>
        <w:t xml:space="preserve"> 摄氏度以上的高温天气；</w:t>
      </w:r>
    </w:p>
    <w:p>
      <w:pPr>
        <w:pStyle w:val="2"/>
        <w:numPr>
          <w:ilvl w:val="0"/>
          <w:numId w:val="3"/>
        </w:numPr>
        <w:spacing w:after="0" w:line="360" w:lineRule="auto"/>
        <w:ind w:left="0" w:firstLine="480" w:firstLineChars="200"/>
        <w:jc w:val="both"/>
        <w:rPr>
          <w:u w:val="single"/>
        </w:rPr>
      </w:pPr>
      <w:r>
        <w:t>其它：</w:t>
      </w:r>
      <w:r>
        <w:rPr>
          <w:u w:val="single"/>
        </w:rPr>
        <w:t>7 级及以上地震。</w:t>
      </w:r>
    </w:p>
    <w:p>
      <w:pPr>
        <w:pStyle w:val="2"/>
        <w:numPr>
          <w:ilvl w:val="0"/>
          <w:numId w:val="3"/>
        </w:numPr>
        <w:spacing w:after="0" w:line="360" w:lineRule="auto"/>
        <w:ind w:left="0" w:firstLine="480" w:firstLineChars="200"/>
        <w:jc w:val="both"/>
        <w:rPr>
          <w:u w:val="single"/>
          <w:lang w:val="en-US"/>
        </w:rPr>
      </w:pPr>
      <w:r>
        <w:rPr>
          <w:rFonts w:hint="eastAsia"/>
          <w:u w:val="single"/>
          <w:lang w:val="en-US"/>
        </w:rPr>
        <w:t>国家、省、市政府或立法机构认定的不可抗力。</w:t>
      </w:r>
    </w:p>
    <w:p>
      <w:pPr>
        <w:pStyle w:val="2"/>
        <w:spacing w:after="0" w:line="360" w:lineRule="auto"/>
        <w:ind w:left="0" w:firstLine="464" w:firstLineChars="200"/>
        <w:jc w:val="both"/>
        <w:rPr>
          <w:rFonts w:cs="Times New Roman"/>
          <w:spacing w:val="-4"/>
          <w:u w:val="single"/>
          <w:lang w:val="en-US" w:bidi="ar-SA"/>
        </w:rPr>
      </w:pPr>
      <w:r>
        <w:rPr>
          <w:rFonts w:cs="Times New Roman"/>
          <w:spacing w:val="-4"/>
          <w:u w:val="single"/>
          <w:lang w:val="en-US" w:bidi="ar-SA"/>
        </w:rPr>
        <w:t>出现暴雨或台风险情时，乙方须接受甲方及水行政主管部门的监督及调配，参与防汛抢险工作。不可抗力发生后，</w:t>
      </w:r>
      <w:r>
        <w:rPr>
          <w:rFonts w:cs="Times New Roman"/>
          <w:spacing w:val="-4"/>
          <w:highlight w:val="yellow"/>
          <w:u w:val="single"/>
          <w:lang w:val="en-US" w:bidi="ar-SA"/>
        </w:rPr>
        <w:t>因乙方怠于采取抢救措施，致使损失扩大的，扩大部分的损失由乙方承担。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四</w:t>
      </w:r>
      <w:r>
        <w:rPr>
          <w:rFonts w:ascii="黑体" w:hAnsi="黑体" w:eastAsia="黑体"/>
          <w:b/>
          <w:sz w:val="28"/>
          <w:lang w:eastAsia="zh-CN"/>
        </w:rPr>
        <w:t>条 保险和担保</w:t>
      </w:r>
    </w:p>
    <w:p>
      <w:pPr>
        <w:pStyle w:val="2"/>
        <w:spacing w:after="0" w:line="360" w:lineRule="auto"/>
        <w:ind w:left="0" w:firstLine="480" w:firstLineChars="200"/>
        <w:jc w:val="both"/>
      </w:pPr>
      <w:r>
        <w:t>甲乙双方约定保险事项：</w:t>
      </w:r>
    </w:p>
    <w:p>
      <w:pPr>
        <w:pStyle w:val="2"/>
        <w:tabs>
          <w:tab w:val="left" w:pos="4319"/>
          <w:tab w:val="left" w:pos="6600"/>
        </w:tabs>
        <w:spacing w:after="0" w:line="360" w:lineRule="auto"/>
        <w:ind w:left="0" w:firstLine="480" w:firstLineChars="200"/>
        <w:jc w:val="both"/>
      </w:pPr>
      <w:r>
        <w:t>1、甲方投保内容：</w:t>
      </w:r>
      <w:r>
        <w:rPr>
          <w:u w:val="single"/>
        </w:rPr>
        <w:t xml:space="preserve"> </w:t>
      </w:r>
      <w:r>
        <w:rPr>
          <w:u w:val="single"/>
        </w:rPr>
        <w:tab/>
      </w:r>
      <w:r>
        <w:rPr>
          <w:u w:val="single"/>
        </w:rPr>
        <w:t>/</w:t>
      </w:r>
      <w:r>
        <w:rPr>
          <w:u w:val="single"/>
        </w:rPr>
        <w:tab/>
      </w:r>
    </w:p>
    <w:p>
      <w:pPr>
        <w:pStyle w:val="2"/>
        <w:spacing w:after="0" w:line="360" w:lineRule="auto"/>
        <w:ind w:left="0" w:firstLine="480" w:firstLineChars="200"/>
        <w:jc w:val="both"/>
      </w:pPr>
      <w:r>
        <w:t>2、乙方投保内容：</w:t>
      </w:r>
      <w:r>
        <w:rPr>
          <w:rFonts w:hint="eastAsia"/>
          <w:u w:val="single"/>
        </w:rPr>
        <w:t>按照深圳市</w:t>
      </w:r>
      <w:r>
        <w:rPr>
          <w:u w:val="single"/>
        </w:rPr>
        <w:t>有关规定办理</w:t>
      </w:r>
      <w:r>
        <w:rPr>
          <w:rFonts w:hint="eastAsia"/>
          <w:u w:val="single"/>
        </w:rPr>
        <w:t>。</w:t>
      </w:r>
      <w:r>
        <w:rPr>
          <w:u w:val="single"/>
        </w:rPr>
        <w:t>乙方须为员工办理意外伤害保险</w:t>
      </w:r>
      <w:r>
        <w:rPr>
          <w:rFonts w:hint="eastAsia"/>
          <w:u w:val="single"/>
        </w:rPr>
        <w:t>，</w:t>
      </w:r>
      <w:r>
        <w:rPr>
          <w:u w:val="single"/>
        </w:rPr>
        <w:t>并为本项目购买公众责任险</w:t>
      </w:r>
      <w:r>
        <w:rPr>
          <w:rFonts w:hint="eastAsia"/>
          <w:u w:val="single"/>
        </w:rPr>
        <w:t>，</w:t>
      </w:r>
      <w:r>
        <w:rPr>
          <w:u w:val="single"/>
        </w:rPr>
        <w:t>公众责任险承保范围须涵盖本项目所有内容</w:t>
      </w:r>
      <w:r>
        <w:rPr>
          <w:rFonts w:hint="eastAsia"/>
          <w:u w:val="single"/>
        </w:rPr>
        <w:t>。如乙方未购买或少购买，在合同实施期间发生的一切事故责任由乙方承担。</w:t>
      </w:r>
    </w:p>
    <w:p>
      <w:pPr>
        <w:pStyle w:val="2"/>
        <w:spacing w:after="0" w:line="360" w:lineRule="auto"/>
        <w:ind w:left="0" w:firstLine="480" w:firstLineChars="200"/>
        <w:jc w:val="both"/>
      </w:pPr>
      <w:r>
        <w:t>具体的保险类型、保险责任范围、对外责任、赔偿处理、被保险人义务、总则，费率等问题，由乙方和保险公司协商决定，本</w:t>
      </w:r>
      <w:r>
        <w:rPr>
          <w:rFonts w:hint="eastAsia"/>
        </w:rPr>
        <w:t>合同</w:t>
      </w:r>
      <w:r>
        <w:t>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五</w:t>
      </w:r>
      <w:r>
        <w:rPr>
          <w:rFonts w:ascii="黑体" w:hAnsi="黑体" w:eastAsia="黑体"/>
          <w:b/>
          <w:sz w:val="28"/>
          <w:lang w:eastAsia="zh-CN"/>
        </w:rPr>
        <w:t>条 其他约定</w:t>
      </w:r>
    </w:p>
    <w:p>
      <w:pPr>
        <w:pStyle w:val="2"/>
        <w:spacing w:after="0" w:line="360" w:lineRule="auto"/>
        <w:ind w:left="0" w:firstLine="480" w:firstLineChars="200"/>
        <w:jc w:val="both"/>
      </w:pPr>
      <w:r>
        <w:t>1、下列文件均为本合同的组成部分：</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（1）《投标文件》；</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（2）《深圳市深汕特别合作区深水水务公司水库管养细则》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（3）《深圳市深汕特别合作区深水水务公司河道管养细则》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（4）《深圳市深汕特别合作区水库、河道管养劳务外包项目安全协议》；</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（5）《“水务大管家”业务运维考核奖惩实施办法》；</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本合同执行中共同签署的补充与修正文件。</w:t>
      </w:r>
    </w:p>
    <w:p>
      <w:pPr>
        <w:pStyle w:val="2"/>
        <w:spacing w:after="0" w:line="360" w:lineRule="auto"/>
        <w:ind w:left="0" w:firstLine="480" w:firstLineChars="200"/>
        <w:jc w:val="both"/>
      </w:pPr>
      <w:r>
        <w:t>2、本合同一式</w:t>
      </w:r>
      <w:r>
        <w:rPr>
          <w:rFonts w:hint="eastAsia"/>
          <w:u w:val="single"/>
        </w:rPr>
        <w:t xml:space="preserve"> 捌 </w:t>
      </w:r>
      <w:r>
        <w:t>份，甲方执</w:t>
      </w:r>
      <w:r>
        <w:rPr>
          <w:u w:val="single"/>
        </w:rPr>
        <w:t xml:space="preserve"> </w:t>
      </w:r>
      <w:r>
        <w:rPr>
          <w:rFonts w:hint="eastAsia"/>
          <w:u w:val="single"/>
        </w:rPr>
        <w:t>肆</w:t>
      </w:r>
      <w:r>
        <w:rPr>
          <w:u w:val="single"/>
        </w:rPr>
        <w:t xml:space="preserve"> </w:t>
      </w:r>
      <w:r>
        <w:t>份，乙方执</w:t>
      </w:r>
      <w:r>
        <w:rPr>
          <w:u w:val="single"/>
        </w:rPr>
        <w:t xml:space="preserve"> </w:t>
      </w:r>
      <w:r>
        <w:rPr>
          <w:rFonts w:hint="eastAsia"/>
          <w:u w:val="single"/>
        </w:rPr>
        <w:t>肆</w:t>
      </w:r>
      <w:r>
        <w:rPr>
          <w:u w:val="single"/>
        </w:rPr>
        <w:t xml:space="preserve"> </w:t>
      </w:r>
      <w:r>
        <w:t>份，具有同等法律效力。本合同自双方法人代表签字（盖章）认可之日起生效。合同期满</w:t>
      </w:r>
      <w:r>
        <w:rPr>
          <w:rFonts w:hint="eastAsia"/>
        </w:rPr>
        <w:t>，</w:t>
      </w:r>
      <w:r>
        <w:t>管养任务完成，并结清所有费用后自行失效。</w:t>
      </w:r>
    </w:p>
    <w:p>
      <w:pPr>
        <w:pStyle w:val="2"/>
        <w:spacing w:after="0" w:line="360" w:lineRule="auto"/>
        <w:ind w:left="0" w:firstLine="480" w:firstLineChars="200"/>
        <w:jc w:val="both"/>
      </w:pPr>
      <w:r>
        <w:t>3、本合同未尽事宜，双方友好协商，达成解决方案，经双方签字后，可作为本合同的有效附件。</w:t>
      </w:r>
    </w:p>
    <w:p>
      <w:pPr>
        <w:pStyle w:val="2"/>
        <w:spacing w:after="0" w:line="360" w:lineRule="auto"/>
        <w:ind w:left="0"/>
        <w:jc w:val="both"/>
      </w:pPr>
      <w:r>
        <w:br w:type="page"/>
      </w:r>
    </w:p>
    <w:p>
      <w:pPr>
        <w:pStyle w:val="2"/>
        <w:spacing w:after="0" w:line="360" w:lineRule="auto"/>
        <w:ind w:left="0" w:firstLine="480" w:firstLineChars="200"/>
        <w:jc w:val="both"/>
      </w:pPr>
      <w:r>
        <w:rPr>
          <w:rFonts w:hint="eastAsia"/>
        </w:rPr>
        <w:t>以下</w:t>
      </w:r>
      <w: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pStyle w:val="2"/>
        <w:tabs>
          <w:tab w:val="left" w:pos="1438"/>
        </w:tabs>
        <w:spacing w:after="0" w:line="480" w:lineRule="auto"/>
        <w:ind w:left="0" w:firstLine="480" w:firstLineChars="200"/>
        <w:jc w:val="both"/>
        <w:rPr>
          <w:spacing w:val="-17"/>
        </w:rPr>
      </w:pPr>
      <w:r>
        <w:t>开户银行</w:t>
      </w:r>
      <w:r>
        <w:rPr>
          <w:spacing w:val="-17"/>
        </w:rPr>
        <w:t xml:space="preserve">： </w:t>
      </w:r>
    </w:p>
    <w:p>
      <w:pPr>
        <w:pStyle w:val="2"/>
        <w:spacing w:after="0" w:line="480" w:lineRule="auto"/>
        <w:ind w:left="0" w:firstLine="480" w:firstLineChars="200"/>
        <w:jc w:val="both"/>
      </w:pPr>
      <w:r>
        <w:t>账    号</w:t>
      </w:r>
      <w:r>
        <w:rPr>
          <w:spacing w:val="-17"/>
        </w:rPr>
        <w:t>：</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开户银行：</w:t>
      </w:r>
    </w:p>
    <w:p>
      <w:pPr>
        <w:ind w:firstLine="440" w:firstLineChars="200"/>
        <w:jc w:val="both"/>
        <w:rPr>
          <w:rFonts w:ascii="宋体" w:hAnsi="宋体"/>
          <w:lang w:eastAsia="zh-CN"/>
        </w:rPr>
      </w:pPr>
      <w:r>
        <w:rPr>
          <w:rFonts w:ascii="宋体" w:hAnsi="宋体"/>
          <w:lang w:eastAsia="zh-CN"/>
        </w:rPr>
        <w:t>账    号：</w:t>
      </w: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jc w:val="both"/>
        <w:rPr>
          <w:rFonts w:ascii="宋体" w:hAnsi="宋体"/>
          <w:lang w:eastAsia="zh-CN"/>
        </w:rPr>
      </w:pPr>
    </w:p>
    <w:p>
      <w:pPr>
        <w:rPr>
          <w:rFonts w:ascii="宋体" w:hAnsi="宋体" w:cs="宋体"/>
          <w:sz w:val="32"/>
          <w:szCs w:val="24"/>
          <w:lang w:val="zh-CN" w:eastAsia="zh-CN" w:bidi="zh-CN"/>
        </w:rPr>
      </w:pPr>
      <w:r>
        <w:rPr>
          <w:rFonts w:hint="eastAsia" w:ascii="宋体" w:hAnsi="宋体" w:cs="宋体"/>
          <w:sz w:val="32"/>
          <w:szCs w:val="24"/>
          <w:lang w:val="zh-CN" w:eastAsia="zh-CN" w:bidi="zh-CN"/>
        </w:rPr>
        <w:t xml:space="preserve">附件1： </w:t>
      </w:r>
      <w:r>
        <w:rPr>
          <w:rFonts w:ascii="宋体" w:hAnsi="宋体" w:cs="宋体"/>
          <w:sz w:val="32"/>
          <w:szCs w:val="24"/>
          <w:lang w:val="zh-CN" w:eastAsia="zh-CN" w:bidi="zh-CN"/>
        </w:rPr>
        <w:t xml:space="preserve">       </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深圳市深汕特别合作区水库、河道管养劳务外包项目</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安全协议</w:t>
      </w: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rPr>
          <w:rFonts w:ascii="宋体" w:hAnsi="宋体" w:cs="宋体"/>
          <w:b/>
          <w:sz w:val="52"/>
          <w:szCs w:val="24"/>
          <w:lang w:val="zh-CN" w:eastAsia="zh-CN" w:bidi="zh-CN"/>
        </w:rPr>
      </w:pPr>
    </w:p>
    <w:p>
      <w:pPr>
        <w:ind w:left="62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620" w:firstLine="1405" w:firstLineChars="500"/>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项目（2022至2023年度）（二标段）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XX公司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spacing w:before="312" w:beforeLines="100" w:after="240"/>
        <w:outlineLvl w:val="0"/>
        <w:rPr>
          <w:rFonts w:ascii="宋体" w:hAnsi="宋体"/>
          <w:b/>
          <w:sz w:val="28"/>
          <w:lang w:eastAsia="zh-CN"/>
        </w:rPr>
      </w:pPr>
      <w:r>
        <w:rPr>
          <w:rFonts w:ascii="宋体" w:hAnsi="宋体"/>
          <w:sz w:val="28"/>
          <w:lang w:eastAsia="zh-CN"/>
        </w:rPr>
        <w:t>发包人</w:t>
      </w:r>
      <w:r>
        <w:rPr>
          <w:rFonts w:hint="eastAsia" w:ascii="宋体" w:hAnsi="宋体"/>
          <w:b/>
          <w:sz w:val="28"/>
          <w:lang w:eastAsia="zh-CN"/>
        </w:rPr>
        <w:t>：</w:t>
      </w:r>
      <w:r>
        <w:rPr>
          <w:rFonts w:hint="eastAsia" w:ascii="宋体" w:hAnsi="宋体"/>
          <w:b/>
          <w:sz w:val="28"/>
          <w:u w:val="single"/>
          <w:lang w:eastAsia="zh-CN"/>
        </w:rPr>
        <w:t>深圳市深汕特别合作区深水水务有限公司</w:t>
      </w:r>
    </w:p>
    <w:p>
      <w:pPr>
        <w:spacing w:before="312" w:beforeLines="100" w:after="240"/>
        <w:outlineLvl w:val="0"/>
        <w:rPr>
          <w:rFonts w:ascii="宋体" w:hAnsi="宋体"/>
          <w:b/>
          <w:sz w:val="28"/>
          <w:lang w:eastAsia="zh-CN"/>
        </w:rPr>
      </w:pPr>
      <w:r>
        <w:rPr>
          <w:rFonts w:ascii="宋体" w:hAnsi="宋体"/>
          <w:sz w:val="28"/>
          <w:lang w:eastAsia="zh-CN"/>
        </w:rPr>
        <w:t>承包人</w:t>
      </w:r>
      <w:r>
        <w:rPr>
          <w:rFonts w:hint="eastAsia" w:ascii="宋体" w:hAnsi="宋体"/>
          <w:b/>
          <w:sz w:val="28"/>
          <w:lang w:eastAsia="zh-CN"/>
        </w:rPr>
        <w:t>：</w:t>
      </w:r>
      <w:r>
        <w:rPr>
          <w:rFonts w:hint="eastAsia" w:ascii="宋体" w:hAnsi="宋体"/>
          <w:b/>
          <w:sz w:val="28"/>
          <w:u w:val="single"/>
          <w:lang w:eastAsia="zh-CN"/>
        </w:rPr>
        <w:t>XX公司</w:t>
      </w:r>
    </w:p>
    <w:p>
      <w:pPr>
        <w:pStyle w:val="2"/>
        <w:spacing w:line="360" w:lineRule="auto"/>
        <w:ind w:firstLine="480" w:firstLineChars="200"/>
      </w:pPr>
      <w:r>
        <w:rPr>
          <w:rFonts w:hint="eastAsia"/>
        </w:rPr>
        <w:t>为了进一步贯彻落实“安全第一、预防为主”的安全生产方针，严格执行劳动保护和安全生产的法令、法规，强化安全生产管理，落实安全生产责任制，从严治理管养项目现场，确保项目中管养人员的安全与健康，促进项目顺利进行，依照《中华人民共和国合同法》、《中华人民共和国安全生产法》、《建设工程安全生产管理条例》、《深圳经济特区质量管理条例》、《深圳市建设工程现场文明施工管理办法》及其他有关法律、法规、规章，并结合</w:t>
      </w:r>
      <w:r>
        <w:rPr>
          <w:rFonts w:hint="eastAsia"/>
          <w:b/>
          <w:u w:val="single"/>
        </w:rPr>
        <w:t>深圳市深汕特别合作区深水水务有限公司</w:t>
      </w:r>
      <w:r>
        <w:rPr>
          <w:rFonts w:hint="eastAsia"/>
        </w:rPr>
        <w:t>（以下简称甲方）有关项目管理规定及各管养项目的具体情况，遵循平等、自愿、公平和诚实信用的原则，安全生产管理标准及职责事项与</w:t>
      </w:r>
      <w:r>
        <w:rPr>
          <w:rFonts w:hint="eastAsia"/>
          <w:b/>
          <w:u w:val="single"/>
          <w:lang w:val="en-US"/>
        </w:rPr>
        <w:t>XX</w:t>
      </w:r>
      <w:r>
        <w:rPr>
          <w:rFonts w:hint="eastAsia"/>
          <w:b/>
          <w:u w:val="single"/>
        </w:rPr>
        <w:t>公司</w:t>
      </w:r>
      <w:r>
        <w:rPr>
          <w:rFonts w:hint="eastAsia"/>
        </w:rPr>
        <w:t>（以下简称乙方）协商一致，订立本协议。</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一</w:t>
      </w:r>
      <w:r>
        <w:rPr>
          <w:rFonts w:ascii="黑体" w:hAnsi="黑体" w:eastAsia="黑体"/>
          <w:b/>
          <w:sz w:val="28"/>
          <w:lang w:eastAsia="zh-CN"/>
        </w:rPr>
        <w:t xml:space="preserve">条 </w:t>
      </w:r>
      <w:r>
        <w:rPr>
          <w:rFonts w:hint="eastAsia" w:ascii="黑体" w:hAnsi="黑体" w:eastAsia="黑体"/>
          <w:b/>
          <w:sz w:val="28"/>
          <w:lang w:eastAsia="zh-CN"/>
        </w:rPr>
        <w:t>安全</w:t>
      </w:r>
      <w:r>
        <w:rPr>
          <w:rFonts w:ascii="黑体" w:hAnsi="黑体" w:eastAsia="黑体"/>
          <w:b/>
          <w:sz w:val="28"/>
          <w:lang w:eastAsia="zh-CN"/>
        </w:rPr>
        <w:t>管理目标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1、杜绝重大安全事故，工亡事故为零；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2、五人以上重伤事故为零，五人及以下重伤或四人及以上轻伤年度内不超过一次；</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3、现场内的安全隐患整改率必须保证在时限内达到100%，杜绝现场重大隐患的出现；</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4、杜绝发生环境污染投诉事件；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5、杜绝发生10人以上的食物中毒事故；杜绝发生3人以上同一种职业病因引起的职业病；不发生重大中毒事故以及群发性传染病。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二</w:t>
      </w:r>
      <w:r>
        <w:rPr>
          <w:rFonts w:ascii="黑体" w:hAnsi="黑体" w:eastAsia="黑体"/>
          <w:b/>
          <w:sz w:val="28"/>
          <w:lang w:eastAsia="zh-CN"/>
        </w:rPr>
        <w:t xml:space="preserve">条 </w:t>
      </w:r>
      <w:r>
        <w:rPr>
          <w:rFonts w:hint="eastAsia" w:ascii="黑体" w:hAnsi="黑体" w:eastAsia="黑体"/>
          <w:b/>
          <w:sz w:val="28"/>
          <w:lang w:eastAsia="zh-CN"/>
        </w:rPr>
        <w:t>甲方职责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1、项目启动前，应告知乙方可能遇到的主要危险及必须遵守的安全规范。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2、负责监督检查乙方安全生产组织机构的建立，专职安全管理人员的配备，安全管理目标分解落实情况。</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3、对乙方各级人员安全生产责任制的落实，安全规章制度执行等情况进行监督检查。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根据国家、地方、集团有关标准、规范及项目的具体情况，甲方项目负责人、现场工程师、安全员可以对乙方人所承包项目的质量、安全生产等进行定期不定期的监督、检查，并做到公平、公正、公开，及时提出乙方存在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每次质量、安全检查纪录均由甲方项目负责人、现场工程师、乙方项目负责人联合确认；如发现违规操作立即停止并进行整改；质量、安全检查结果及整改进度在例会上进行通报，并纪录在会议纪要中。</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三</w:t>
      </w:r>
      <w:r>
        <w:rPr>
          <w:rFonts w:ascii="黑体" w:hAnsi="黑体" w:eastAsia="黑体"/>
          <w:b/>
          <w:sz w:val="28"/>
          <w:lang w:eastAsia="zh-CN"/>
        </w:rPr>
        <w:t xml:space="preserve">条 </w:t>
      </w:r>
      <w:r>
        <w:rPr>
          <w:rFonts w:hint="eastAsia" w:ascii="黑体" w:hAnsi="黑体" w:eastAsia="黑体"/>
          <w:b/>
          <w:sz w:val="28"/>
          <w:lang w:eastAsia="zh-CN"/>
        </w:rPr>
        <w:t>乙方职责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1、管养项目全过程应遵守国家、地方标准、规范，遵守甲方制定的有关制度及规定，随时接受甲方的监督检查，并为监督检查提供便利条件，及时整改甲方提出的问题。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2、自觉接受甲方及有关政府部门的工作人员对现场施工安全的监督。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3、有较为稳定的管养人员队伍、较强的技术力量。对特殊工种人员均要求持证上岗。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4、遵守管养项目安全生产有关管理规定，严格按安全标准实施管养，并随时接受行业安全检查人员依法实施的监督检查，采取必要的安全防护措施，消除事故隐患。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5、遵守有关环境保护和安全生产方面的法律、法规的规定，不得采取对管养区域环境造成污染和危害的措施。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6、坚持安全技术交底，从项目技术负责人、专职安全员、管养队长到每个管养人员，逐级进行安全技术交底，保证管养范围文明整洁，消除安全隐患。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7、涉电作业、动火作业、井下作业及高空作业承包人必须实行许可证制度，作业前告知作业人员可能存在的危险，并加于防范，以把危险降到最低。</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管养区域及仓库的物资应分区堆放整齐，注意防火灾防触电；施工电源必须采用三相五线制；用电、配电设备的金属外壳必须设接地（接零）保护，接地电阻应符合规范要求；应按规定装设漏电保护器且漏电保护器须外观完好、动作可靠；施工现场配电箱及照明设施必须具有防水功能，配电箱安装牢靠且柜门必须关闭。</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9、文明施工、安全施工。各管养工作前，必须为乙方自有的全部人员生命财产办理保险，并为从事危险作业的职工办理意外伤害保险，支付保险费用。</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0</w:t>
      </w:r>
      <w:r>
        <w:rPr>
          <w:rFonts w:hint="eastAsia" w:ascii="宋体" w:hAnsi="宋体" w:cs="宋体"/>
          <w:sz w:val="24"/>
          <w:szCs w:val="24"/>
          <w:lang w:val="zh-CN" w:eastAsia="zh-CN" w:bidi="zh-CN"/>
        </w:rPr>
        <w:t>、因施工需要，搭设临时工棚必须遵守国家及深圳市有关规定，做到安全、卫生、文明，生活设施齐备，消防设施符合有关规定，充分考虑自然条件可能对临时工棚带来的安全隐患。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1</w:t>
      </w:r>
      <w:r>
        <w:rPr>
          <w:rFonts w:hint="eastAsia" w:ascii="宋体" w:hAnsi="宋体" w:cs="宋体"/>
          <w:sz w:val="24"/>
          <w:szCs w:val="24"/>
          <w:lang w:val="zh-CN" w:eastAsia="zh-CN" w:bidi="zh-CN"/>
        </w:rPr>
        <w:t>、为其全部员工签订劳动合同等手续，并负责购买社会、工伤保险。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2</w:t>
      </w:r>
      <w:r>
        <w:rPr>
          <w:rFonts w:hint="eastAsia" w:ascii="宋体" w:hAnsi="宋体" w:cs="宋体"/>
          <w:sz w:val="24"/>
          <w:szCs w:val="24"/>
          <w:lang w:val="zh-CN" w:eastAsia="zh-CN" w:bidi="zh-CN"/>
        </w:rPr>
        <w:t>、乙方承诺清正廉洁，保证不行贿甲方任何部门、任何员工。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3</w:t>
      </w:r>
      <w:r>
        <w:rPr>
          <w:rFonts w:hint="eastAsia" w:ascii="宋体" w:hAnsi="宋体" w:cs="宋体"/>
          <w:sz w:val="24"/>
          <w:szCs w:val="24"/>
          <w:lang w:val="zh-CN" w:eastAsia="zh-CN" w:bidi="zh-CN"/>
        </w:rPr>
        <w:t>、执行下列安全管理制度：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（1）安全技术方案制度：乙方必须编制安全技术方案及各单项作业安全防护措施，须报甲方审批后方可执行，若改变原方案必须重新报批；</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（2）执行各级安全教育培训以及持证上岗制度。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4</w:t>
      </w:r>
      <w:r>
        <w:rPr>
          <w:rFonts w:hint="eastAsia" w:ascii="宋体" w:hAnsi="宋体" w:cs="宋体"/>
          <w:sz w:val="24"/>
          <w:szCs w:val="24"/>
          <w:lang w:val="zh-CN" w:eastAsia="zh-CN" w:bidi="zh-CN"/>
        </w:rPr>
        <w:t>、培训、持证上岗：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（1）乙方项目负责人须接受安全培训、考试合格后办理安全资格审查认可证后方可上岗；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（2）乙方的项目负责人以及各安全员须接受安全技术培训、参加安全年审考核，合格者办理《安全生产资格证书》，持证上岗；</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3</w:t>
      </w:r>
      <w:r>
        <w:rPr>
          <w:rFonts w:hint="eastAsia" w:ascii="宋体" w:hAnsi="宋体" w:cs="宋体"/>
          <w:sz w:val="24"/>
          <w:szCs w:val="24"/>
          <w:lang w:val="zh-CN" w:eastAsia="zh-CN" w:bidi="zh-CN"/>
        </w:rPr>
        <w:t>）</w:t>
      </w:r>
      <w:r>
        <w:rPr>
          <w:rFonts w:hint="eastAsia" w:ascii="宋体" w:hAnsi="宋体" w:cs="宋体"/>
          <w:sz w:val="24"/>
          <w:szCs w:val="24"/>
          <w:lang w:eastAsia="zh-CN" w:bidi="zh-CN"/>
        </w:rPr>
        <w:t>乙方的项目负责人以及安全员须组织进行每日班前安全教育，安全例会，安全分析会等，定期进行各项应急救援演练；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4</w:t>
      </w:r>
      <w:r>
        <w:rPr>
          <w:rFonts w:hint="eastAsia" w:ascii="宋体" w:hAnsi="宋体" w:cs="宋体"/>
          <w:sz w:val="24"/>
          <w:szCs w:val="24"/>
          <w:lang w:val="zh-CN" w:eastAsia="zh-CN" w:bidi="zh-CN"/>
        </w:rPr>
        <w:t>）乙方管养人员入场一律接受三级安全教育，考试合格并取得“安全生产考核证”后方准进入现场施工，如果乙方的管养人员需要变动，必须提出计划报告甲方，按规定进行教育、考核合格后方可上岗；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5</w:t>
      </w:r>
      <w:r>
        <w:rPr>
          <w:rFonts w:hint="eastAsia" w:ascii="宋体" w:hAnsi="宋体" w:cs="宋体"/>
          <w:sz w:val="24"/>
          <w:szCs w:val="24"/>
          <w:lang w:val="zh-CN" w:eastAsia="zh-CN" w:bidi="zh-CN"/>
        </w:rPr>
        <w:t>）乙方的特种作业人员的配置必须满足施工需要，并持有有效证件（原籍地、市级劳动部门颁发和当地劳动部门核发的特种作业临时操作证，持证上岗；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6</w:t>
      </w:r>
      <w:r>
        <w:rPr>
          <w:rFonts w:hint="eastAsia" w:ascii="宋体" w:hAnsi="宋体" w:cs="宋体"/>
          <w:sz w:val="24"/>
          <w:szCs w:val="24"/>
          <w:lang w:val="zh-CN" w:eastAsia="zh-CN" w:bidi="zh-CN"/>
        </w:rPr>
        <w:t>）乙方工人变换施工现场或工种时，要进行转场和转换工种教育；</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5</w:t>
      </w:r>
      <w:r>
        <w:rPr>
          <w:rFonts w:hint="eastAsia" w:ascii="宋体" w:hAnsi="宋体" w:cs="宋体"/>
          <w:sz w:val="24"/>
          <w:szCs w:val="24"/>
          <w:lang w:val="zh-CN" w:eastAsia="zh-CN" w:bidi="zh-CN"/>
        </w:rPr>
        <w:t>、执行甲方的安全检查制度：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（1）乙方必须虚心接受甲方以及其上级主管部门和各级政府、各行业主管部门的安全生产检查，否则造成的罚款等损失均由乙方承担；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（2）乙方必须按照甲方的要求建立自身的定期和不定期的安全生产检查制度，并且严格贯彻实施；</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（3）乙方必须设立专职安全人员实施日常安全生产检查制度及检查制度和自检制度。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6</w:t>
      </w:r>
      <w:r>
        <w:rPr>
          <w:rFonts w:hint="eastAsia" w:ascii="宋体" w:hAnsi="宋体" w:cs="宋体"/>
          <w:sz w:val="24"/>
          <w:szCs w:val="24"/>
          <w:lang w:val="zh-CN" w:eastAsia="zh-CN" w:bidi="zh-CN"/>
        </w:rPr>
        <w:t>、乙方必须严格执行检查整改消项制度。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7</w:t>
      </w:r>
      <w:r>
        <w:rPr>
          <w:rFonts w:hint="eastAsia" w:ascii="宋体" w:hAnsi="宋体" w:cs="宋体"/>
          <w:sz w:val="24"/>
          <w:szCs w:val="24"/>
          <w:lang w:val="zh-CN" w:eastAsia="zh-CN" w:bidi="zh-CN"/>
        </w:rPr>
        <w:t>、执行个人劳动防护用品定期定量供应制度。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8</w:t>
      </w:r>
      <w:r>
        <w:rPr>
          <w:rFonts w:hint="eastAsia" w:ascii="宋体" w:hAnsi="宋体" w:cs="宋体"/>
          <w:sz w:val="24"/>
          <w:szCs w:val="24"/>
          <w:lang w:val="zh-CN" w:eastAsia="zh-CN" w:bidi="zh-CN"/>
        </w:rPr>
        <w:t>、承包人必须预防和治理职业伤害与中毒事故。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9</w:t>
      </w:r>
      <w:r>
        <w:rPr>
          <w:rFonts w:hint="eastAsia" w:ascii="宋体" w:hAnsi="宋体" w:cs="宋体"/>
          <w:sz w:val="24"/>
          <w:szCs w:val="24"/>
          <w:lang w:val="zh-CN" w:eastAsia="zh-CN" w:bidi="zh-CN"/>
        </w:rPr>
        <w:t>、执行因工伤亡报告制度：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（1）乙方人员在现场从事管养工作过程中所发生的伤害事故为工伤事故；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如果发生因工伤亡事故，乙方应在10分钟内，以最快捷的方式通知甲方的项目主管领导，向其报告事故的详情。由甲方通过正常渠道及时逐级上报上级有关部门，同时乙方应积极组织抢救工作采取相应的措施，保护好现场，如因抢救伤员必须移动现场设备、设施者要做好记录或拍照，乙方为抢救提供必要条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（3）乙方要积极配合甲方上级部门、政府部门对事故的调查和现场勘查。凡因乙方隐瞒不报、作伪证或擅自拆毁事故现场，所造成的一切后果均由乙方承担；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（4）乙方须承担因为乙方的原因造成的安全事故的经济责任和法律责任；</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如果发生因工伤亡事故，乙方应积极做好事故的善后处理工作，伤亡人员为乙方人员的，乙方应直接负责伤亡者及其家属的接待善后工作，因此发生的资金费用由乙方支付，因不能积极对事故进行善后处理而产生的一切后果由乙方自负。</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0</w:t>
      </w:r>
      <w:r>
        <w:rPr>
          <w:rFonts w:hint="eastAsia" w:ascii="宋体" w:hAnsi="宋体" w:cs="宋体"/>
          <w:sz w:val="24"/>
          <w:szCs w:val="24"/>
          <w:lang w:val="zh-CN" w:eastAsia="zh-CN" w:bidi="zh-CN"/>
        </w:rPr>
        <w:t>、执行安全防范制度：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（1）乙方要对管养人员的安全负责；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（2）乙方必须采取一切严密的、符合安全标准的预防措施，确保所有工作场所的安全，不得存在危及管养人员安全和健康的危险情况，并保证管养范围内所有人员或附近人员免遭可能发生的一切危险；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（3）甲方有权要求立刻撤走管养项目内的任何没有适当理由而又不遵守、执行地方政府相关部门及行业主管部门发布的安全条例和指令的人员；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（4）管养现场和管养人员，必须严格按国家、政府规定的安全生产、文明施工标准搞好防护工作，保证有安全可靠、卫生的工作环境，严禁违章作业、违章指挥；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（5）对不符合安全规定的，甲方安全管理人员有权要求停工和强行整改使之达到安全标准，所须费用从工程款中加倍扣除；</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（6）凡重要劳动防护用品，必须到正规的厂家购买。包括但不限于：安全帽、安全带、安全网、漏电保护器、电焊机二次线保护器、配电箱、五芯电缆、脚手架扣件等；</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（7）乙方应给所属管养人员提供必须的和有效的安全用品，包括但不限于：安全帽、雨衣、救生衣等，若必要时还须配戴面罩、眼罩、护耳、绝缘手套等的个人人身防护设备；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（8）乙方应在合同签约后7天内，呈送安全管理防范方案，详述将要采取的安全措施和对紧急事件处理的方案以及自身的安全管理条例，报甲方备案；</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（9）乙方制定的安全管理方案及条例的副本，由乙方编制并且分发至所有乙方的工作场所，法律要求的其他文件、标语、警示牌等物品，具体由甲方决定；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（10）乙方应指定至少一名合格的且有经验的安全员负责安全方案和措施得到实施。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1</w:t>
      </w:r>
      <w:r>
        <w:rPr>
          <w:rFonts w:hint="eastAsia" w:ascii="宋体" w:hAnsi="宋体" w:cs="宋体"/>
          <w:sz w:val="24"/>
          <w:szCs w:val="24"/>
          <w:lang w:val="zh-CN" w:eastAsia="zh-CN" w:bidi="zh-CN"/>
        </w:rPr>
        <w:t>、消防保卫工作要求：</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必须认真遵守国家的有关法律、法规及建设部和当地政府、建委颁发的有关治安、消防、交通安全管理规定及条例，乙方应严格按消防保卫制度以及现场消防保卫的特殊要求组织施工，并接受甲方的安全检查，对甲方所签发的隐患整改通知，乙方应在甲方指定的期限内立即整改完毕，逾期不改或整改不符合甲方的要求，甲方有权按规定对乙方进行经济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（2）须配备至少一名专（兼）职消防保卫管理人员，负责本单位的消防保卫工作；</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管理以及自身防范措施不利或乙方人员责任造成的案件、火灾、交通事故（含管养范围内）等灾害事故，事故经济责任、事故法律责任以及事故的善后处理均由乙方独自承担，因此给甲方造成的经济损失由乙方负责赔偿，甲方可对其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2</w:t>
      </w:r>
      <w:r>
        <w:rPr>
          <w:rFonts w:hint="eastAsia" w:ascii="宋体" w:hAnsi="宋体" w:cs="宋体"/>
          <w:sz w:val="24"/>
          <w:szCs w:val="24"/>
          <w:lang w:val="zh-CN" w:eastAsia="zh-CN" w:bidi="zh-CN"/>
        </w:rPr>
        <w:t>、现场文明施工及其人员行为的管理：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（1）遵守现场安全文明施工的各项管理规定，在管养过程中，对其全体员工的服饰、安全帽等进行统一管理；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（2）采取一切合理的措施，防止其劳务人员发生任何违法或妨碍治安的行为，保持安定局面并且保护周围人员和财产不受上述行为的危害；</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（3）按照甲方要求建立有关文明安全施工、消防保卫、环保卫生、仓库管理和环境保护等方面的各项管理规章制度；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严格执行国家的法律法规，采取适当的预防措施，以保证其人员的安全、卫生、健康，在整个合同期间，自始自终在管养人员所在的现场和集中住所，配有紧急抢救人员和设备，并且采取适当的措施以预防传染病，并提供应有的福利以及卫生条件。</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23、乙方的项目负责人及安全员须建立健全安全管理档案，妥善保存安全管理资料。</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24、乙方的项目负责人及安全员须落实业务范围内储存、装卸、验收和使用的安全管理。</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25、乙方须根据甲方要求，落实项目内的三防工作。</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26、严禁酒后，服用或注射国家管制的精神药品或麻醉药品后进入作业现场。</w:t>
      </w:r>
    </w:p>
    <w:p>
      <w:pPr>
        <w:spacing w:after="0" w:line="360" w:lineRule="auto"/>
        <w:ind w:firstLine="480" w:firstLineChars="200"/>
        <w:jc w:val="both"/>
        <w:rPr>
          <w:rFonts w:ascii="宋体" w:hAnsi="宋体" w:cs="宋体"/>
          <w:sz w:val="24"/>
          <w:szCs w:val="24"/>
          <w:lang w:val="zh-CN" w:eastAsia="zh-CN" w:bidi="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四</w:t>
      </w:r>
      <w:r>
        <w:rPr>
          <w:rFonts w:ascii="黑体" w:hAnsi="黑体" w:eastAsia="黑体"/>
          <w:b/>
          <w:sz w:val="28"/>
          <w:lang w:eastAsia="zh-CN"/>
        </w:rPr>
        <w:t xml:space="preserve">条 </w:t>
      </w:r>
      <w:r>
        <w:rPr>
          <w:rFonts w:hint="eastAsia" w:ascii="黑体" w:hAnsi="黑体" w:eastAsia="黑体"/>
          <w:b/>
          <w:sz w:val="28"/>
          <w:lang w:eastAsia="zh-CN"/>
        </w:rPr>
        <w:t>责任</w:t>
      </w:r>
    </w:p>
    <w:p>
      <w:pPr>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乙方因没有严格履行上述职责或违反国家及地区的安全生产法律法规，造成安全事故发生，致使人员伤亡，乙方应承担相应的法律、经济责任，造成财产损失的，还应该赔偿相应的损失。</w:t>
      </w:r>
    </w:p>
    <w:p>
      <w:pPr>
        <w:ind w:firstLine="480" w:firstLineChars="200"/>
        <w:jc w:val="both"/>
        <w:rPr>
          <w:lang w:eastAsia="zh-CN"/>
        </w:rPr>
      </w:pPr>
      <w:r>
        <w:rPr>
          <w:rFonts w:ascii="宋体" w:hAnsi="宋体" w:cs="宋体"/>
          <w:sz w:val="24"/>
          <w:szCs w:val="24"/>
          <w:lang w:val="zh-CN" w:eastAsia="zh-CN" w:bidi="zh-CN"/>
        </w:rPr>
        <w:br w:type="page"/>
      </w:r>
      <w:r>
        <w:rPr>
          <w:rFonts w:hint="eastAsia"/>
          <w:lang w:eastAsia="zh-CN"/>
        </w:rPr>
        <w:t>以下</w:t>
      </w:r>
      <w:r>
        <w:rPr>
          <w:lang w:eastAsia="zh-CN"/>
        </w:rP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rPr>
          <w:u w:val="single"/>
        </w:rPr>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jc w:val="both"/>
        <w:rPr>
          <w:u w:val="single"/>
        </w:rPr>
      </w:pPr>
    </w:p>
    <w:p>
      <w:pPr>
        <w:ind w:firstLine="440" w:firstLineChars="200"/>
        <w:jc w:val="both"/>
        <w:rPr>
          <w:rFonts w:ascii="宋体" w:hAnsi="宋体" w:cs="宋体"/>
          <w:sz w:val="32"/>
          <w:szCs w:val="32"/>
          <w:highlight w:val="yellow"/>
          <w:lang w:val="zh-CN" w:eastAsia="zh-CN" w:bidi="zh-CN"/>
        </w:rPr>
      </w:pPr>
      <w:r>
        <w:rPr>
          <w:u w:val="single"/>
          <w:lang w:eastAsia="zh-CN"/>
        </w:rPr>
        <w:br w:type="page"/>
      </w:r>
      <w:r>
        <w:rPr>
          <w:rFonts w:ascii="宋体" w:hAnsi="宋体" w:cs="宋体"/>
          <w:sz w:val="32"/>
          <w:szCs w:val="32"/>
          <w:highlight w:val="yellow"/>
          <w:lang w:val="zh-CN" w:eastAsia="zh-CN" w:bidi="zh-CN"/>
        </w:rPr>
        <w:t>附件</w:t>
      </w:r>
      <w:r>
        <w:rPr>
          <w:rFonts w:hint="eastAsia" w:ascii="宋体" w:hAnsi="宋体" w:cs="宋体"/>
          <w:sz w:val="32"/>
          <w:szCs w:val="32"/>
          <w:highlight w:val="yellow"/>
          <w:lang w:val="zh-CN" w:eastAsia="zh-CN" w:bidi="zh-CN"/>
        </w:rPr>
        <w:t>2：</w:t>
      </w:r>
    </w:p>
    <w:p>
      <w:pPr>
        <w:ind w:right="-54"/>
        <w:jc w:val="center"/>
        <w:rPr>
          <w:rFonts w:ascii="宋体" w:hAnsi="宋体"/>
          <w:b/>
          <w:sz w:val="44"/>
          <w:szCs w:val="44"/>
          <w:highlight w:val="yellow"/>
          <w:lang w:eastAsia="zh-CN"/>
        </w:rPr>
      </w:pPr>
    </w:p>
    <w:p>
      <w:pPr>
        <w:ind w:right="-54"/>
        <w:jc w:val="center"/>
        <w:rPr>
          <w:rFonts w:ascii="宋体" w:hAnsi="宋体"/>
          <w:b/>
          <w:sz w:val="44"/>
          <w:szCs w:val="44"/>
          <w:highlight w:val="yellow"/>
          <w:lang w:eastAsia="zh-CN"/>
        </w:rPr>
      </w:pPr>
      <w:r>
        <w:rPr>
          <w:rFonts w:hint="eastAsia" w:ascii="宋体" w:hAnsi="宋体"/>
          <w:b/>
          <w:sz w:val="44"/>
          <w:szCs w:val="44"/>
          <w:highlight w:val="yellow"/>
          <w:lang w:eastAsia="zh-CN"/>
        </w:rPr>
        <w:t>“水务大管家”业务</w:t>
      </w:r>
      <w:r>
        <w:rPr>
          <w:rFonts w:ascii="宋体" w:hAnsi="宋体"/>
          <w:b/>
          <w:sz w:val="44"/>
          <w:szCs w:val="44"/>
          <w:highlight w:val="yellow"/>
          <w:lang w:eastAsia="zh-CN"/>
        </w:rPr>
        <w:t>运维</w:t>
      </w:r>
    </w:p>
    <w:p>
      <w:pPr>
        <w:ind w:right="-54"/>
        <w:jc w:val="center"/>
        <w:rPr>
          <w:rFonts w:ascii="宋体" w:hAnsi="宋体"/>
          <w:b/>
          <w:sz w:val="44"/>
          <w:szCs w:val="44"/>
          <w:highlight w:val="yellow"/>
          <w:lang w:eastAsia="zh-CN"/>
        </w:rPr>
      </w:pPr>
      <w:r>
        <w:rPr>
          <w:rFonts w:ascii="宋体" w:hAnsi="宋体"/>
          <w:b/>
          <w:sz w:val="44"/>
          <w:szCs w:val="44"/>
          <w:highlight w:val="yellow"/>
          <w:lang w:eastAsia="zh-CN"/>
        </w:rPr>
        <w:t>考核</w:t>
      </w:r>
      <w:r>
        <w:rPr>
          <w:rFonts w:hint="eastAsia" w:ascii="宋体" w:hAnsi="宋体"/>
          <w:b/>
          <w:sz w:val="44"/>
          <w:szCs w:val="44"/>
          <w:highlight w:val="yellow"/>
          <w:lang w:eastAsia="zh-CN"/>
        </w:rPr>
        <w:t>奖惩</w:t>
      </w:r>
      <w:r>
        <w:rPr>
          <w:rFonts w:ascii="宋体" w:hAnsi="宋体"/>
          <w:b/>
          <w:sz w:val="44"/>
          <w:szCs w:val="44"/>
          <w:highlight w:val="yellow"/>
          <w:lang w:eastAsia="zh-CN"/>
        </w:rPr>
        <w:t>实施</w:t>
      </w:r>
      <w:r>
        <w:rPr>
          <w:rFonts w:hint="eastAsia" w:ascii="宋体" w:hAnsi="宋体"/>
          <w:b/>
          <w:sz w:val="44"/>
          <w:szCs w:val="44"/>
          <w:highlight w:val="yellow"/>
          <w:lang w:eastAsia="zh-CN"/>
        </w:rPr>
        <w:t>办法</w:t>
      </w:r>
    </w:p>
    <w:p>
      <w:pPr>
        <w:jc w:val="center"/>
        <w:rPr>
          <w:rFonts w:ascii="宋体" w:hAnsi="宋体"/>
          <w:b/>
          <w:sz w:val="44"/>
          <w:szCs w:val="44"/>
          <w:highlight w:val="yellow"/>
          <w:lang w:eastAsia="zh-CN"/>
        </w:rPr>
      </w:pPr>
      <w:r>
        <w:rPr>
          <w:rFonts w:ascii="宋体" w:hAnsi="宋体"/>
          <w:b/>
          <w:sz w:val="44"/>
          <w:szCs w:val="44"/>
          <w:highlight w:val="yellow"/>
          <w:lang w:eastAsia="zh-CN"/>
        </w:rPr>
        <w:t>（根据工作需求进行适时修订）</w:t>
      </w:r>
    </w:p>
    <w:p>
      <w:pPr>
        <w:jc w:val="center"/>
        <w:rPr>
          <w:rFonts w:ascii="宋体" w:hAnsi="宋体"/>
          <w:b/>
          <w:sz w:val="30"/>
          <w:szCs w:val="30"/>
          <w:highlight w:val="yellow"/>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r>
        <w:rPr>
          <w:rFonts w:hint="eastAsia" w:ascii="宋体" w:hAnsi="宋体"/>
          <w:b/>
          <w:sz w:val="30"/>
          <w:szCs w:val="30"/>
          <w:lang w:eastAsia="zh-CN"/>
        </w:rPr>
        <w:t>深圳市深汕特别合作区深水水务有限公司</w:t>
      </w:r>
    </w:p>
    <w:p>
      <w:pPr>
        <w:jc w:val="center"/>
        <w:rPr>
          <w:rFonts w:ascii="宋体" w:hAnsi="宋体"/>
          <w:b/>
          <w:sz w:val="30"/>
          <w:szCs w:val="30"/>
          <w:lang w:eastAsia="zh-CN"/>
        </w:rPr>
      </w:pPr>
      <w:r>
        <w:rPr>
          <w:rFonts w:hint="eastAsia" w:ascii="宋体" w:hAnsi="宋体"/>
          <w:b/>
          <w:sz w:val="30"/>
          <w:szCs w:val="30"/>
          <w:lang w:eastAsia="zh-CN"/>
        </w:rPr>
        <w:t>二〇二二年二月</w:t>
      </w:r>
    </w:p>
    <w:p>
      <w:pPr>
        <w:pStyle w:val="3"/>
        <w:spacing w:line="240" w:lineRule="auto"/>
        <w:rPr>
          <w:b w:val="0"/>
          <w:sz w:val="22"/>
          <w:lang w:eastAsia="zh-CN"/>
        </w:rPr>
      </w:pPr>
    </w:p>
    <w:p>
      <w:pPr>
        <w:rPr>
          <w:lang w:eastAsia="zh-CN"/>
        </w:rPr>
      </w:pPr>
    </w:p>
    <w:p>
      <w:pPr>
        <w:pStyle w:val="3"/>
        <w:spacing w:line="240" w:lineRule="auto"/>
        <w:rPr>
          <w:color w:val="auto"/>
          <w:lang w:eastAsia="zh-CN"/>
        </w:rPr>
      </w:pPr>
      <w:r>
        <w:rPr>
          <w:rFonts w:ascii="宋体" w:hAnsi="宋体" w:cs="宋体"/>
          <w:sz w:val="24"/>
          <w:szCs w:val="24"/>
          <w:lang w:eastAsia="zh-CN" w:bidi="zh-CN"/>
        </w:rPr>
        <w:br w:type="page"/>
      </w:r>
      <w:bookmarkStart w:id="3" w:name="_Toc49346102"/>
      <w:r>
        <w:rPr>
          <w:rFonts w:hint="eastAsia"/>
          <w:color w:val="auto"/>
          <w:lang w:eastAsia="zh-CN"/>
        </w:rPr>
        <w:t>1.概述</w:t>
      </w:r>
      <w:bookmarkEnd w:id="3"/>
    </w:p>
    <w:p>
      <w:pPr>
        <w:pStyle w:val="4"/>
        <w:spacing w:line="240" w:lineRule="auto"/>
        <w:rPr>
          <w:color w:val="auto"/>
          <w:lang w:eastAsia="zh-CN"/>
        </w:rPr>
      </w:pPr>
      <w:bookmarkStart w:id="4" w:name="_Toc49346103"/>
      <w:r>
        <w:rPr>
          <w:rFonts w:hint="eastAsia"/>
          <w:color w:val="auto"/>
          <w:lang w:eastAsia="zh-CN"/>
        </w:rPr>
        <w:t>1.1目的</w:t>
      </w:r>
      <w:bookmarkEnd w:id="4"/>
    </w:p>
    <w:p>
      <w:pPr>
        <w:spacing w:line="240" w:lineRule="auto"/>
        <w:ind w:firstLine="560" w:firstLineChars="200"/>
        <w:jc w:val="both"/>
        <w:rPr>
          <w:rFonts w:ascii="仿宋" w:hAnsi="仿宋" w:eastAsia="仿宋"/>
          <w:sz w:val="28"/>
          <w:szCs w:val="28"/>
          <w:lang w:val="zh-CN" w:eastAsia="zh-CN"/>
        </w:rPr>
      </w:pPr>
      <w:r>
        <w:rPr>
          <w:rFonts w:hint="eastAsia" w:ascii="仿宋" w:hAnsi="仿宋" w:eastAsia="仿宋"/>
          <w:sz w:val="28"/>
          <w:szCs w:val="28"/>
          <w:lang w:eastAsia="zh-CN"/>
        </w:rPr>
        <w:t>深汕特别合作区是我省实现“三个定位、两个率先”的总目标、促进区域协调发展的重要实践，通过“水务大管家”新增涉水业务运维管理，逐步推动水库、河道全流域、全要素管理，保障水库、河道防洪安全和水环境安全，严格合同考核，推行按效付费，严管重罚，确保管养质量，营造水清岸绿景美的生态环境</w:t>
      </w:r>
      <w:r>
        <w:rPr>
          <w:rFonts w:hint="eastAsia" w:ascii="仿宋" w:hAnsi="仿宋" w:eastAsia="仿宋"/>
          <w:sz w:val="28"/>
          <w:szCs w:val="28"/>
          <w:lang w:val="zh-CN" w:eastAsia="zh-CN"/>
        </w:rPr>
        <w:t>。</w:t>
      </w:r>
    </w:p>
    <w:p>
      <w:pPr>
        <w:pStyle w:val="4"/>
        <w:spacing w:line="240" w:lineRule="auto"/>
        <w:rPr>
          <w:color w:val="auto"/>
          <w:lang w:eastAsia="zh-CN"/>
        </w:rPr>
      </w:pPr>
      <w:bookmarkStart w:id="5" w:name="_Toc49346104"/>
      <w:r>
        <w:rPr>
          <w:rFonts w:hint="eastAsia"/>
          <w:color w:val="auto"/>
          <w:lang w:eastAsia="zh-CN"/>
        </w:rPr>
        <w:t>1.2内容</w:t>
      </w:r>
      <w:bookmarkEnd w:id="5"/>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水库、河道运维管养的考核及奖惩。</w:t>
      </w:r>
    </w:p>
    <w:p>
      <w:pPr>
        <w:pStyle w:val="3"/>
        <w:spacing w:line="240" w:lineRule="auto"/>
        <w:rPr>
          <w:color w:val="auto"/>
          <w:lang w:eastAsia="zh-CN"/>
        </w:rPr>
      </w:pPr>
      <w:bookmarkStart w:id="6" w:name="_Toc49346105"/>
      <w:r>
        <w:rPr>
          <w:rFonts w:hint="eastAsia"/>
          <w:color w:val="auto"/>
          <w:lang w:eastAsia="zh-CN"/>
        </w:rPr>
        <w:t>2.运维单位考核办法</w:t>
      </w:r>
      <w:bookmarkEnd w:id="6"/>
    </w:p>
    <w:p>
      <w:pPr>
        <w:pStyle w:val="4"/>
        <w:spacing w:line="240" w:lineRule="auto"/>
        <w:rPr>
          <w:rFonts w:ascii="仿宋" w:hAnsi="仿宋" w:eastAsia="仿宋"/>
          <w:color w:val="auto"/>
          <w:sz w:val="28"/>
          <w:szCs w:val="28"/>
          <w:lang w:eastAsia="zh-CN"/>
        </w:rPr>
      </w:pPr>
      <w:bookmarkStart w:id="7" w:name="_Toc49346106"/>
      <w:r>
        <w:rPr>
          <w:rFonts w:hint="eastAsia"/>
          <w:color w:val="auto"/>
          <w:lang w:eastAsia="zh-CN"/>
        </w:rPr>
        <w:t>2.1</w:t>
      </w:r>
      <w:r>
        <w:rPr>
          <w:color w:val="auto"/>
          <w:lang w:eastAsia="zh-CN"/>
        </w:rPr>
        <w:t>水库运营考核</w:t>
      </w:r>
      <w:bookmarkEnd w:id="7"/>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2.1.3评分标准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4"/>
        <w:spacing w:line="240" w:lineRule="auto"/>
        <w:rPr>
          <w:color w:val="auto"/>
          <w:lang w:eastAsia="zh-CN"/>
        </w:rPr>
      </w:pPr>
      <w:bookmarkStart w:id="8" w:name="_Toc49346107"/>
      <w:r>
        <w:rPr>
          <w:rFonts w:hint="eastAsia"/>
          <w:color w:val="auto"/>
          <w:lang w:eastAsia="zh-CN"/>
        </w:rPr>
        <w:t>2.2河道运营考核</w:t>
      </w:r>
      <w:bookmarkEnd w:id="8"/>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2.2.3</w:t>
      </w:r>
      <w:r>
        <w:rPr>
          <w:rFonts w:ascii="仿宋" w:hAnsi="仿宋" w:eastAsia="仿宋"/>
          <w:sz w:val="28"/>
          <w:szCs w:val="28"/>
          <w:lang w:eastAsia="zh-CN"/>
        </w:rPr>
        <w:t>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3"/>
        <w:spacing w:line="240" w:lineRule="auto"/>
        <w:rPr>
          <w:color w:val="auto"/>
          <w:lang w:eastAsia="zh-CN"/>
        </w:rPr>
      </w:pPr>
      <w:bookmarkStart w:id="9" w:name="_Toc49346108"/>
      <w:r>
        <w:rPr>
          <w:rFonts w:hint="eastAsia"/>
          <w:color w:val="auto"/>
          <w:lang w:eastAsia="zh-CN"/>
        </w:rPr>
        <w:t>3.运维单位奖惩办法</w:t>
      </w:r>
      <w:bookmarkEnd w:id="9"/>
    </w:p>
    <w:p>
      <w:pPr>
        <w:pStyle w:val="4"/>
        <w:spacing w:line="240" w:lineRule="auto"/>
        <w:rPr>
          <w:color w:val="auto"/>
          <w:lang w:eastAsia="zh-CN"/>
        </w:rPr>
      </w:pPr>
      <w:bookmarkStart w:id="10" w:name="_Toc49346109"/>
      <w:r>
        <w:rPr>
          <w:rFonts w:hint="eastAsia"/>
          <w:color w:val="auto"/>
          <w:lang w:eastAsia="zh-CN"/>
        </w:rPr>
        <w:t>3.1奖惩机制</w:t>
      </w:r>
      <w:bookmarkEnd w:id="10"/>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合同期间，深水深汕水务公司不定期在日常工作、专项检查等工作中抽查运维单位管养工作执行情况，并根据奖惩细则对违规行为进行处罚或对突出表现进行奖励。处罚或奖励均计入当季度（或年度）考核，并从下一次支付款（或年度尾款）中进行扣除或者发放。</w:t>
      </w:r>
    </w:p>
    <w:p>
      <w:pPr>
        <w:pStyle w:val="4"/>
        <w:spacing w:line="240" w:lineRule="auto"/>
        <w:rPr>
          <w:color w:val="auto"/>
          <w:lang w:eastAsia="zh-CN"/>
        </w:rPr>
      </w:pPr>
      <w:bookmarkStart w:id="11" w:name="_Toc49346110"/>
      <w:r>
        <w:rPr>
          <w:rFonts w:hint="eastAsia"/>
          <w:color w:val="auto"/>
          <w:lang w:eastAsia="zh-CN"/>
        </w:rPr>
        <w:t>3.2奖惩标准</w:t>
      </w:r>
      <w:bookmarkEnd w:id="11"/>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奖惩</w:t>
      </w:r>
      <w:r>
        <w:rPr>
          <w:rFonts w:ascii="仿宋" w:hAnsi="仿宋" w:eastAsia="仿宋"/>
          <w:sz w:val="28"/>
          <w:szCs w:val="28"/>
          <w:lang w:eastAsia="zh-CN"/>
        </w:rPr>
        <w:t>可根据项目实施需要，在管养服务工作过程中进行调整。</w:t>
      </w:r>
      <w:r>
        <w:rPr>
          <w:rFonts w:hint="eastAsia" w:ascii="仿宋" w:hAnsi="仿宋" w:eastAsia="仿宋"/>
          <w:sz w:val="28"/>
          <w:szCs w:val="28"/>
          <w:lang w:eastAsia="zh-CN"/>
        </w:rPr>
        <w:t>奖惩</w:t>
      </w:r>
      <w:r>
        <w:rPr>
          <w:rFonts w:ascii="仿宋" w:hAnsi="仿宋" w:eastAsia="仿宋"/>
          <w:sz w:val="28"/>
          <w:szCs w:val="28"/>
          <w:lang w:eastAsia="zh-CN"/>
        </w:rPr>
        <w:t>情况及结果将以书面形式告知服务单位</w:t>
      </w:r>
      <w:r>
        <w:rPr>
          <w:rFonts w:hint="eastAsia" w:ascii="仿宋" w:hAnsi="仿宋" w:eastAsia="仿宋"/>
          <w:sz w:val="28"/>
          <w:szCs w:val="28"/>
          <w:lang w:eastAsia="zh-CN"/>
        </w:rPr>
        <w:t>。奖惩标准参照考核标准制定实施（详见附件），包括：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1.资料管理：主要包括档案管理制度、档案存放设施、档案分类及归档资料等；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2.物资设备管理：主要包括物资设备配备、管理、使用、维护等；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3.制度情况：主要包括制度制定及执行情况等；</w:t>
      </w:r>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4.巡查、保洁、绿化、设施维护和安全文明作业等：主要包括主体工程养护情况；机电设备维护情况；水库及周边卫生、消杀、绿化情况；安保巡查情况；安全文明作业情况等。</w:t>
      </w: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仿宋" w:hAnsi="仿宋" w:eastAsia="仿宋"/>
          <w:sz w:val="28"/>
          <w:szCs w:val="28"/>
          <w:lang w:eastAsia="zh-CN"/>
        </w:rPr>
        <w:t>附表：考核奖惩细则</w:t>
      </w:r>
    </w:p>
    <w:p>
      <w:pPr>
        <w:jc w:val="both"/>
        <w:rPr>
          <w:rFonts w:ascii="宋体" w:hAnsi="宋体" w:cs="宋体"/>
          <w:sz w:val="24"/>
          <w:szCs w:val="24"/>
          <w:lang w:val="zh-CN" w:eastAsia="zh-CN" w:bidi="zh-CN"/>
        </w:rPr>
      </w:pPr>
    </w:p>
    <w:sectPr>
      <w:footerReference r:id="rId11" w:type="default"/>
      <w:pgSz w:w="16840" w:h="11910" w:orient="landscape"/>
      <w:pgMar w:top="1701" w:right="1418" w:bottom="1701" w:left="1418" w:header="0" w:footer="1007"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3766185</wp:posOffset>
              </wp:positionH>
              <wp:positionV relativeFrom="page">
                <wp:posOffset>9912985</wp:posOffset>
              </wp:positionV>
              <wp:extent cx="211455" cy="1606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211455" cy="160655"/>
                      </a:xfrm>
                      <a:prstGeom prst="rect">
                        <a:avLst/>
                      </a:prstGeom>
                      <a:noFill/>
                      <a:ln>
                        <a:noFill/>
                      </a:ln>
                      <a:effectLst/>
                    </wps:spPr>
                    <wps:txbx>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6.55pt;margin-top:780.55pt;height:12.65pt;width:16.65pt;mso-position-horizontal-relative:page;mso-position-vertical-relative:page;z-index:-251657216;mso-width-relative:page;mso-height-relative:page;" filled="f" stroked="f" coordsize="21600,21600" o:gfxdata="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ZdKqPaAAAADQEAAA8AAAAAAAAAAQAgAAAAIgAAAGRycy9k&#10;b3ducmV2LnhtbFBLAQIUABQAAAAIAIdO4kBcvALLAAIAABEEAAAOAAAAAAAAAAEAIAAAACkBAABk&#10;cnMvZTJvRG9jLnhtbFBLBQYAAAAABgAGAFkBAACbBQAAAAA=&#10;">
              <v:fill on="f" focussize="0,0"/>
              <v:stroke on="f"/>
              <v:imagedata o:title=""/>
              <o:lock v:ext="edit" aspectratio="f"/>
              <v:textbox inset="0mm,0mm,0mm,0mm">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5F740"/>
    <w:multiLevelType w:val="singleLevel"/>
    <w:tmpl w:val="1B95F740"/>
    <w:lvl w:ilvl="0" w:tentative="0">
      <w:start w:val="4"/>
      <w:numFmt w:val="decimal"/>
      <w:suff w:val="nothing"/>
      <w:lvlText w:val="%1、"/>
      <w:lvlJc w:val="left"/>
    </w:lvl>
  </w:abstractNum>
  <w:abstractNum w:abstractNumId="1">
    <w:nsid w:val="398F5197"/>
    <w:multiLevelType w:val="multilevel"/>
    <w:tmpl w:val="398F5197"/>
    <w:lvl w:ilvl="0" w:tentative="0">
      <w:start w:val="1"/>
      <w:numFmt w:val="decimal"/>
      <w:lvlText w:val="（%1）"/>
      <w:lvlJc w:val="left"/>
      <w:pPr>
        <w:ind w:left="1199" w:hanging="601"/>
      </w:pPr>
      <w:rPr>
        <w:rFonts w:hint="default" w:ascii="宋体" w:hAnsi="宋体" w:eastAsia="宋体" w:cs="宋体"/>
        <w:b w:val="0"/>
        <w:spacing w:val="-1"/>
        <w:w w:val="100"/>
        <w:sz w:val="22"/>
        <w:szCs w:val="22"/>
        <w:lang w:val="zh-CN" w:eastAsia="zh-CN" w:bidi="zh-CN"/>
      </w:rPr>
    </w:lvl>
    <w:lvl w:ilvl="1" w:tentative="0">
      <w:start w:val="1"/>
      <w:numFmt w:val="decimal"/>
      <w:lvlText w:val="（%2）"/>
      <w:lvlJc w:val="left"/>
      <w:pPr>
        <w:ind w:left="238" w:hanging="60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2127" w:hanging="601"/>
      </w:pPr>
      <w:rPr>
        <w:rFonts w:hint="default"/>
        <w:lang w:val="zh-CN" w:eastAsia="zh-CN" w:bidi="zh-CN"/>
      </w:rPr>
    </w:lvl>
    <w:lvl w:ilvl="3" w:tentative="0">
      <w:start w:val="0"/>
      <w:numFmt w:val="bullet"/>
      <w:lvlText w:val="•"/>
      <w:lvlJc w:val="left"/>
      <w:pPr>
        <w:ind w:left="3054" w:hanging="601"/>
      </w:pPr>
      <w:rPr>
        <w:rFonts w:hint="default"/>
        <w:lang w:val="zh-CN" w:eastAsia="zh-CN" w:bidi="zh-CN"/>
      </w:rPr>
    </w:lvl>
    <w:lvl w:ilvl="4" w:tentative="0">
      <w:start w:val="0"/>
      <w:numFmt w:val="bullet"/>
      <w:lvlText w:val="•"/>
      <w:lvlJc w:val="left"/>
      <w:pPr>
        <w:ind w:left="3982" w:hanging="601"/>
      </w:pPr>
      <w:rPr>
        <w:rFonts w:hint="default"/>
        <w:lang w:val="zh-CN" w:eastAsia="zh-CN" w:bidi="zh-CN"/>
      </w:rPr>
    </w:lvl>
    <w:lvl w:ilvl="5" w:tentative="0">
      <w:start w:val="0"/>
      <w:numFmt w:val="bullet"/>
      <w:lvlText w:val="•"/>
      <w:lvlJc w:val="left"/>
      <w:pPr>
        <w:ind w:left="4909" w:hanging="601"/>
      </w:pPr>
      <w:rPr>
        <w:rFonts w:hint="default"/>
        <w:lang w:val="zh-CN" w:eastAsia="zh-CN" w:bidi="zh-CN"/>
      </w:rPr>
    </w:lvl>
    <w:lvl w:ilvl="6" w:tentative="0">
      <w:start w:val="0"/>
      <w:numFmt w:val="bullet"/>
      <w:lvlText w:val="•"/>
      <w:lvlJc w:val="left"/>
      <w:pPr>
        <w:ind w:left="5836" w:hanging="601"/>
      </w:pPr>
      <w:rPr>
        <w:rFonts w:hint="default"/>
        <w:lang w:val="zh-CN" w:eastAsia="zh-CN" w:bidi="zh-CN"/>
      </w:rPr>
    </w:lvl>
    <w:lvl w:ilvl="7" w:tentative="0">
      <w:start w:val="0"/>
      <w:numFmt w:val="bullet"/>
      <w:lvlText w:val="•"/>
      <w:lvlJc w:val="left"/>
      <w:pPr>
        <w:ind w:left="6764" w:hanging="601"/>
      </w:pPr>
      <w:rPr>
        <w:rFonts w:hint="default"/>
        <w:lang w:val="zh-CN" w:eastAsia="zh-CN" w:bidi="zh-CN"/>
      </w:rPr>
    </w:lvl>
    <w:lvl w:ilvl="8" w:tentative="0">
      <w:start w:val="0"/>
      <w:numFmt w:val="bullet"/>
      <w:lvlText w:val="•"/>
      <w:lvlJc w:val="left"/>
      <w:pPr>
        <w:ind w:left="7691" w:hanging="601"/>
      </w:pPr>
      <w:rPr>
        <w:rFonts w:hint="default"/>
        <w:lang w:val="zh-CN" w:eastAsia="zh-CN" w:bidi="zh-CN"/>
      </w:rPr>
    </w:lvl>
  </w:abstractNum>
  <w:abstractNum w:abstractNumId="2">
    <w:nsid w:val="470F3F10"/>
    <w:multiLevelType w:val="multilevel"/>
    <w:tmpl w:val="470F3F10"/>
    <w:lvl w:ilvl="0" w:tentative="0">
      <w:start w:val="1"/>
      <w:numFmt w:val="decimal"/>
      <w:lvlText w:val="（%1）"/>
      <w:lvlJc w:val="left"/>
      <w:pPr>
        <w:ind w:left="1310" w:hanging="601"/>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2133" w:hanging="601"/>
      </w:pPr>
      <w:rPr>
        <w:rFonts w:hint="default"/>
        <w:lang w:val="zh-CN" w:eastAsia="zh-CN" w:bidi="zh-CN"/>
      </w:rPr>
    </w:lvl>
    <w:lvl w:ilvl="2" w:tentative="0">
      <w:start w:val="0"/>
      <w:numFmt w:val="bullet"/>
      <w:lvlText w:val="•"/>
      <w:lvlJc w:val="left"/>
      <w:pPr>
        <w:ind w:left="2956" w:hanging="601"/>
      </w:pPr>
      <w:rPr>
        <w:rFonts w:hint="default"/>
        <w:lang w:val="zh-CN" w:eastAsia="zh-CN" w:bidi="zh-CN"/>
      </w:rPr>
    </w:lvl>
    <w:lvl w:ilvl="3" w:tentative="0">
      <w:start w:val="0"/>
      <w:numFmt w:val="bullet"/>
      <w:lvlText w:val="•"/>
      <w:lvlJc w:val="left"/>
      <w:pPr>
        <w:ind w:left="3778" w:hanging="601"/>
      </w:pPr>
      <w:rPr>
        <w:rFonts w:hint="default"/>
        <w:lang w:val="zh-CN" w:eastAsia="zh-CN" w:bidi="zh-CN"/>
      </w:rPr>
    </w:lvl>
    <w:lvl w:ilvl="4" w:tentative="0">
      <w:start w:val="0"/>
      <w:numFmt w:val="bullet"/>
      <w:lvlText w:val="•"/>
      <w:lvlJc w:val="left"/>
      <w:pPr>
        <w:ind w:left="4601" w:hanging="601"/>
      </w:pPr>
      <w:rPr>
        <w:rFonts w:hint="default"/>
        <w:lang w:val="zh-CN" w:eastAsia="zh-CN" w:bidi="zh-CN"/>
      </w:rPr>
    </w:lvl>
    <w:lvl w:ilvl="5" w:tentative="0">
      <w:start w:val="0"/>
      <w:numFmt w:val="bullet"/>
      <w:lvlText w:val="•"/>
      <w:lvlJc w:val="left"/>
      <w:pPr>
        <w:ind w:left="5424" w:hanging="601"/>
      </w:pPr>
      <w:rPr>
        <w:rFonts w:hint="default"/>
        <w:lang w:val="zh-CN" w:eastAsia="zh-CN" w:bidi="zh-CN"/>
      </w:rPr>
    </w:lvl>
    <w:lvl w:ilvl="6" w:tentative="0">
      <w:start w:val="0"/>
      <w:numFmt w:val="bullet"/>
      <w:lvlText w:val="•"/>
      <w:lvlJc w:val="left"/>
      <w:pPr>
        <w:ind w:left="6246" w:hanging="601"/>
      </w:pPr>
      <w:rPr>
        <w:rFonts w:hint="default"/>
        <w:lang w:val="zh-CN" w:eastAsia="zh-CN" w:bidi="zh-CN"/>
      </w:rPr>
    </w:lvl>
    <w:lvl w:ilvl="7" w:tentative="0">
      <w:start w:val="0"/>
      <w:numFmt w:val="bullet"/>
      <w:lvlText w:val="•"/>
      <w:lvlJc w:val="left"/>
      <w:pPr>
        <w:ind w:left="7069" w:hanging="601"/>
      </w:pPr>
      <w:rPr>
        <w:rFonts w:hint="default"/>
        <w:lang w:val="zh-CN" w:eastAsia="zh-CN" w:bidi="zh-CN"/>
      </w:rPr>
    </w:lvl>
    <w:lvl w:ilvl="8" w:tentative="0">
      <w:start w:val="0"/>
      <w:numFmt w:val="bullet"/>
      <w:lvlText w:val="•"/>
      <w:lvlJc w:val="left"/>
      <w:pPr>
        <w:ind w:left="7892" w:hanging="601"/>
      </w:pPr>
      <w:rPr>
        <w:rFonts w:hint="default"/>
        <w:lang w:val="zh-CN" w:eastAsia="zh-CN" w:bidi="zh-C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formatting="1"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472"/>
    <w:rsid w:val="0000390A"/>
    <w:rsid w:val="00010E6F"/>
    <w:rsid w:val="00016A43"/>
    <w:rsid w:val="000213A2"/>
    <w:rsid w:val="000213CF"/>
    <w:rsid w:val="00032BC6"/>
    <w:rsid w:val="00032BDB"/>
    <w:rsid w:val="00036CEF"/>
    <w:rsid w:val="000444F9"/>
    <w:rsid w:val="0004681A"/>
    <w:rsid w:val="00054E1A"/>
    <w:rsid w:val="0007144B"/>
    <w:rsid w:val="00074DBD"/>
    <w:rsid w:val="0008071D"/>
    <w:rsid w:val="000829B7"/>
    <w:rsid w:val="00085C83"/>
    <w:rsid w:val="0009098B"/>
    <w:rsid w:val="00091997"/>
    <w:rsid w:val="00096D3A"/>
    <w:rsid w:val="000A2BED"/>
    <w:rsid w:val="000A7EA3"/>
    <w:rsid w:val="000B62C2"/>
    <w:rsid w:val="000C7C91"/>
    <w:rsid w:val="000D4EFE"/>
    <w:rsid w:val="000D63BA"/>
    <w:rsid w:val="00100C31"/>
    <w:rsid w:val="0011103F"/>
    <w:rsid w:val="0011112E"/>
    <w:rsid w:val="00113629"/>
    <w:rsid w:val="0012266C"/>
    <w:rsid w:val="00147CEE"/>
    <w:rsid w:val="00150631"/>
    <w:rsid w:val="00150805"/>
    <w:rsid w:val="00150E88"/>
    <w:rsid w:val="00153007"/>
    <w:rsid w:val="001619A6"/>
    <w:rsid w:val="00165C92"/>
    <w:rsid w:val="00186E07"/>
    <w:rsid w:val="0019062F"/>
    <w:rsid w:val="00193DE1"/>
    <w:rsid w:val="001A0066"/>
    <w:rsid w:val="001A1505"/>
    <w:rsid w:val="001B1BFD"/>
    <w:rsid w:val="001B3FA2"/>
    <w:rsid w:val="001B6E81"/>
    <w:rsid w:val="001B7842"/>
    <w:rsid w:val="001C0BFF"/>
    <w:rsid w:val="001D28B2"/>
    <w:rsid w:val="001D59C9"/>
    <w:rsid w:val="001D6222"/>
    <w:rsid w:val="001F4C72"/>
    <w:rsid w:val="00205227"/>
    <w:rsid w:val="00206F57"/>
    <w:rsid w:val="0021242E"/>
    <w:rsid w:val="00215171"/>
    <w:rsid w:val="002156E3"/>
    <w:rsid w:val="00217F44"/>
    <w:rsid w:val="00221176"/>
    <w:rsid w:val="0023073A"/>
    <w:rsid w:val="0025452F"/>
    <w:rsid w:val="002702F9"/>
    <w:rsid w:val="00276727"/>
    <w:rsid w:val="0028145F"/>
    <w:rsid w:val="00282E03"/>
    <w:rsid w:val="00294EBE"/>
    <w:rsid w:val="002A42CE"/>
    <w:rsid w:val="002D4A9D"/>
    <w:rsid w:val="002D5659"/>
    <w:rsid w:val="002D6114"/>
    <w:rsid w:val="002E1472"/>
    <w:rsid w:val="002E26D9"/>
    <w:rsid w:val="002E52A5"/>
    <w:rsid w:val="002F336D"/>
    <w:rsid w:val="002F6A97"/>
    <w:rsid w:val="00302248"/>
    <w:rsid w:val="00303BAE"/>
    <w:rsid w:val="003049F1"/>
    <w:rsid w:val="00321E96"/>
    <w:rsid w:val="003231F3"/>
    <w:rsid w:val="003242CD"/>
    <w:rsid w:val="00333455"/>
    <w:rsid w:val="0034057C"/>
    <w:rsid w:val="0034735B"/>
    <w:rsid w:val="0034752F"/>
    <w:rsid w:val="00351695"/>
    <w:rsid w:val="00353482"/>
    <w:rsid w:val="003535A0"/>
    <w:rsid w:val="0037192A"/>
    <w:rsid w:val="00375B35"/>
    <w:rsid w:val="00381E68"/>
    <w:rsid w:val="003834EF"/>
    <w:rsid w:val="00386A3E"/>
    <w:rsid w:val="00392B98"/>
    <w:rsid w:val="003B13DE"/>
    <w:rsid w:val="003B3CB9"/>
    <w:rsid w:val="003C0D38"/>
    <w:rsid w:val="003C3937"/>
    <w:rsid w:val="003C4500"/>
    <w:rsid w:val="003C590E"/>
    <w:rsid w:val="003D3F11"/>
    <w:rsid w:val="003D7242"/>
    <w:rsid w:val="003D767C"/>
    <w:rsid w:val="003F0F62"/>
    <w:rsid w:val="003F542C"/>
    <w:rsid w:val="00413221"/>
    <w:rsid w:val="00425F1F"/>
    <w:rsid w:val="00427678"/>
    <w:rsid w:val="00434236"/>
    <w:rsid w:val="00436CD5"/>
    <w:rsid w:val="004471D4"/>
    <w:rsid w:val="00450E19"/>
    <w:rsid w:val="004511E3"/>
    <w:rsid w:val="004556EA"/>
    <w:rsid w:val="0045653B"/>
    <w:rsid w:val="004609A0"/>
    <w:rsid w:val="0047022A"/>
    <w:rsid w:val="00476A31"/>
    <w:rsid w:val="00477F4E"/>
    <w:rsid w:val="00482934"/>
    <w:rsid w:val="004859C4"/>
    <w:rsid w:val="00491035"/>
    <w:rsid w:val="004A21AA"/>
    <w:rsid w:val="004B2FEF"/>
    <w:rsid w:val="004B4749"/>
    <w:rsid w:val="004B6180"/>
    <w:rsid w:val="004B746E"/>
    <w:rsid w:val="00501773"/>
    <w:rsid w:val="00501A17"/>
    <w:rsid w:val="005134D2"/>
    <w:rsid w:val="00531964"/>
    <w:rsid w:val="00534A8A"/>
    <w:rsid w:val="0055112B"/>
    <w:rsid w:val="00551A32"/>
    <w:rsid w:val="005576F5"/>
    <w:rsid w:val="00566D86"/>
    <w:rsid w:val="0056776D"/>
    <w:rsid w:val="0057029B"/>
    <w:rsid w:val="0057229B"/>
    <w:rsid w:val="00587F74"/>
    <w:rsid w:val="005915A2"/>
    <w:rsid w:val="00594C39"/>
    <w:rsid w:val="005B6129"/>
    <w:rsid w:val="005C05AF"/>
    <w:rsid w:val="005C2EA7"/>
    <w:rsid w:val="0060091A"/>
    <w:rsid w:val="0060604B"/>
    <w:rsid w:val="00620D79"/>
    <w:rsid w:val="00623610"/>
    <w:rsid w:val="00624630"/>
    <w:rsid w:val="00624A85"/>
    <w:rsid w:val="00655AF2"/>
    <w:rsid w:val="00656F86"/>
    <w:rsid w:val="0066193A"/>
    <w:rsid w:val="00674A39"/>
    <w:rsid w:val="00680473"/>
    <w:rsid w:val="006835E6"/>
    <w:rsid w:val="00683659"/>
    <w:rsid w:val="006914F8"/>
    <w:rsid w:val="00696BBA"/>
    <w:rsid w:val="0069769C"/>
    <w:rsid w:val="006A7069"/>
    <w:rsid w:val="006C22A1"/>
    <w:rsid w:val="006C5698"/>
    <w:rsid w:val="006D1BB3"/>
    <w:rsid w:val="006D4DD6"/>
    <w:rsid w:val="006E3BD2"/>
    <w:rsid w:val="006E5021"/>
    <w:rsid w:val="006E7439"/>
    <w:rsid w:val="00711C17"/>
    <w:rsid w:val="00714F59"/>
    <w:rsid w:val="00730366"/>
    <w:rsid w:val="00730789"/>
    <w:rsid w:val="00732B86"/>
    <w:rsid w:val="007347A0"/>
    <w:rsid w:val="00746797"/>
    <w:rsid w:val="00753241"/>
    <w:rsid w:val="007760E9"/>
    <w:rsid w:val="007A1AC9"/>
    <w:rsid w:val="007A2ACE"/>
    <w:rsid w:val="007B3E60"/>
    <w:rsid w:val="007B5919"/>
    <w:rsid w:val="007B69F1"/>
    <w:rsid w:val="007E0873"/>
    <w:rsid w:val="007E74C0"/>
    <w:rsid w:val="007F3E19"/>
    <w:rsid w:val="007F5A51"/>
    <w:rsid w:val="00800EA1"/>
    <w:rsid w:val="00813BE6"/>
    <w:rsid w:val="00815BFC"/>
    <w:rsid w:val="00822B14"/>
    <w:rsid w:val="00826B12"/>
    <w:rsid w:val="00826C07"/>
    <w:rsid w:val="00840D38"/>
    <w:rsid w:val="00845092"/>
    <w:rsid w:val="00846F94"/>
    <w:rsid w:val="00861B75"/>
    <w:rsid w:val="008647D4"/>
    <w:rsid w:val="00865C90"/>
    <w:rsid w:val="00867FD1"/>
    <w:rsid w:val="00880538"/>
    <w:rsid w:val="00883E30"/>
    <w:rsid w:val="00884496"/>
    <w:rsid w:val="00884D0F"/>
    <w:rsid w:val="008A2658"/>
    <w:rsid w:val="008A37A4"/>
    <w:rsid w:val="008B2FC4"/>
    <w:rsid w:val="008C20DD"/>
    <w:rsid w:val="008D1344"/>
    <w:rsid w:val="008D2C6C"/>
    <w:rsid w:val="008D2D2C"/>
    <w:rsid w:val="008D3C62"/>
    <w:rsid w:val="008E1E4B"/>
    <w:rsid w:val="008E2B0C"/>
    <w:rsid w:val="008E54FD"/>
    <w:rsid w:val="008F3F6E"/>
    <w:rsid w:val="008F6123"/>
    <w:rsid w:val="008F6E03"/>
    <w:rsid w:val="00900ACD"/>
    <w:rsid w:val="0090376E"/>
    <w:rsid w:val="00912347"/>
    <w:rsid w:val="00916F47"/>
    <w:rsid w:val="00921988"/>
    <w:rsid w:val="009224EA"/>
    <w:rsid w:val="00937A70"/>
    <w:rsid w:val="009514DE"/>
    <w:rsid w:val="0095526C"/>
    <w:rsid w:val="009673C7"/>
    <w:rsid w:val="00975D12"/>
    <w:rsid w:val="00992781"/>
    <w:rsid w:val="009A2910"/>
    <w:rsid w:val="009F23A9"/>
    <w:rsid w:val="009F476E"/>
    <w:rsid w:val="009F7AF2"/>
    <w:rsid w:val="00A01494"/>
    <w:rsid w:val="00A102A9"/>
    <w:rsid w:val="00A1196C"/>
    <w:rsid w:val="00A215AF"/>
    <w:rsid w:val="00A221F3"/>
    <w:rsid w:val="00A348CC"/>
    <w:rsid w:val="00A408A4"/>
    <w:rsid w:val="00A464E6"/>
    <w:rsid w:val="00A46AFB"/>
    <w:rsid w:val="00A470F6"/>
    <w:rsid w:val="00A674B8"/>
    <w:rsid w:val="00A70F86"/>
    <w:rsid w:val="00A70F92"/>
    <w:rsid w:val="00A7635C"/>
    <w:rsid w:val="00A859F5"/>
    <w:rsid w:val="00A953CB"/>
    <w:rsid w:val="00AA060E"/>
    <w:rsid w:val="00AA1A95"/>
    <w:rsid w:val="00AB688D"/>
    <w:rsid w:val="00AC20EB"/>
    <w:rsid w:val="00AC3E2D"/>
    <w:rsid w:val="00AC69F7"/>
    <w:rsid w:val="00AD3659"/>
    <w:rsid w:val="00AF0025"/>
    <w:rsid w:val="00AF1953"/>
    <w:rsid w:val="00B116B0"/>
    <w:rsid w:val="00B1283E"/>
    <w:rsid w:val="00B1379A"/>
    <w:rsid w:val="00B24C63"/>
    <w:rsid w:val="00B257FD"/>
    <w:rsid w:val="00B371AF"/>
    <w:rsid w:val="00B53558"/>
    <w:rsid w:val="00B66DCD"/>
    <w:rsid w:val="00B80EF5"/>
    <w:rsid w:val="00B829CC"/>
    <w:rsid w:val="00B975ED"/>
    <w:rsid w:val="00BA7B11"/>
    <w:rsid w:val="00BB514E"/>
    <w:rsid w:val="00BB7903"/>
    <w:rsid w:val="00BC1066"/>
    <w:rsid w:val="00BC42F4"/>
    <w:rsid w:val="00BD0671"/>
    <w:rsid w:val="00BD2E75"/>
    <w:rsid w:val="00BD6D5C"/>
    <w:rsid w:val="00BE15E9"/>
    <w:rsid w:val="00BE4F14"/>
    <w:rsid w:val="00BE6E82"/>
    <w:rsid w:val="00BE780B"/>
    <w:rsid w:val="00BF2251"/>
    <w:rsid w:val="00BF4947"/>
    <w:rsid w:val="00C216D2"/>
    <w:rsid w:val="00C32C88"/>
    <w:rsid w:val="00C3476A"/>
    <w:rsid w:val="00C40E58"/>
    <w:rsid w:val="00C4481D"/>
    <w:rsid w:val="00C4638B"/>
    <w:rsid w:val="00C4732C"/>
    <w:rsid w:val="00C53564"/>
    <w:rsid w:val="00C56373"/>
    <w:rsid w:val="00C563DD"/>
    <w:rsid w:val="00C76942"/>
    <w:rsid w:val="00C864D1"/>
    <w:rsid w:val="00C946EF"/>
    <w:rsid w:val="00CA21AE"/>
    <w:rsid w:val="00CA26AA"/>
    <w:rsid w:val="00CB6329"/>
    <w:rsid w:val="00CB79C0"/>
    <w:rsid w:val="00CC3515"/>
    <w:rsid w:val="00CE366E"/>
    <w:rsid w:val="00CE409B"/>
    <w:rsid w:val="00CE4F43"/>
    <w:rsid w:val="00CF0460"/>
    <w:rsid w:val="00CF57D4"/>
    <w:rsid w:val="00D00684"/>
    <w:rsid w:val="00D14DD3"/>
    <w:rsid w:val="00D203AF"/>
    <w:rsid w:val="00D22A68"/>
    <w:rsid w:val="00D22ECF"/>
    <w:rsid w:val="00D53B31"/>
    <w:rsid w:val="00D54F3D"/>
    <w:rsid w:val="00D67186"/>
    <w:rsid w:val="00D72BC0"/>
    <w:rsid w:val="00D7597E"/>
    <w:rsid w:val="00D80DC7"/>
    <w:rsid w:val="00D94609"/>
    <w:rsid w:val="00D976BC"/>
    <w:rsid w:val="00DA792F"/>
    <w:rsid w:val="00DA79AE"/>
    <w:rsid w:val="00DB0D86"/>
    <w:rsid w:val="00DB0EB0"/>
    <w:rsid w:val="00DD0686"/>
    <w:rsid w:val="00DE01D8"/>
    <w:rsid w:val="00DE07B8"/>
    <w:rsid w:val="00DE46ED"/>
    <w:rsid w:val="00DE5095"/>
    <w:rsid w:val="00E073B9"/>
    <w:rsid w:val="00E07BE2"/>
    <w:rsid w:val="00E1050F"/>
    <w:rsid w:val="00E14475"/>
    <w:rsid w:val="00E214F8"/>
    <w:rsid w:val="00E21A9C"/>
    <w:rsid w:val="00E30360"/>
    <w:rsid w:val="00E31BD9"/>
    <w:rsid w:val="00E32EBF"/>
    <w:rsid w:val="00E33E98"/>
    <w:rsid w:val="00E3680A"/>
    <w:rsid w:val="00E46BED"/>
    <w:rsid w:val="00E46D40"/>
    <w:rsid w:val="00E54782"/>
    <w:rsid w:val="00E67C69"/>
    <w:rsid w:val="00E73604"/>
    <w:rsid w:val="00E74B11"/>
    <w:rsid w:val="00E75C24"/>
    <w:rsid w:val="00E91F6F"/>
    <w:rsid w:val="00E97823"/>
    <w:rsid w:val="00EA3234"/>
    <w:rsid w:val="00EA6B2B"/>
    <w:rsid w:val="00EB46FB"/>
    <w:rsid w:val="00EC46C1"/>
    <w:rsid w:val="00EE75B7"/>
    <w:rsid w:val="00EF7DA9"/>
    <w:rsid w:val="00F01608"/>
    <w:rsid w:val="00F12EFB"/>
    <w:rsid w:val="00F41F32"/>
    <w:rsid w:val="00F4412F"/>
    <w:rsid w:val="00F47E9C"/>
    <w:rsid w:val="00F52FE6"/>
    <w:rsid w:val="00F608E1"/>
    <w:rsid w:val="00F60D6C"/>
    <w:rsid w:val="00F814FB"/>
    <w:rsid w:val="00F90169"/>
    <w:rsid w:val="00F904DC"/>
    <w:rsid w:val="00F96156"/>
    <w:rsid w:val="00FA220E"/>
    <w:rsid w:val="00FA51C0"/>
    <w:rsid w:val="00FC2844"/>
    <w:rsid w:val="00FC533E"/>
    <w:rsid w:val="00FC626A"/>
    <w:rsid w:val="00FD1B75"/>
    <w:rsid w:val="00FD20E2"/>
    <w:rsid w:val="00FE3420"/>
    <w:rsid w:val="00FF2062"/>
    <w:rsid w:val="00FF6CD8"/>
    <w:rsid w:val="00FF7DCE"/>
    <w:rsid w:val="036C7DFA"/>
    <w:rsid w:val="04B96704"/>
    <w:rsid w:val="0509609A"/>
    <w:rsid w:val="07327FB1"/>
    <w:rsid w:val="073565CF"/>
    <w:rsid w:val="07F155DC"/>
    <w:rsid w:val="095C04CE"/>
    <w:rsid w:val="09953D16"/>
    <w:rsid w:val="099D02A9"/>
    <w:rsid w:val="0A1D3F0B"/>
    <w:rsid w:val="0AC630BC"/>
    <w:rsid w:val="0B4A070F"/>
    <w:rsid w:val="0CA1429F"/>
    <w:rsid w:val="0D093C57"/>
    <w:rsid w:val="0D48069D"/>
    <w:rsid w:val="0D522FE7"/>
    <w:rsid w:val="0ED84D2A"/>
    <w:rsid w:val="0FDB2348"/>
    <w:rsid w:val="10E92ACE"/>
    <w:rsid w:val="11072ADA"/>
    <w:rsid w:val="110B3BE6"/>
    <w:rsid w:val="12924A0C"/>
    <w:rsid w:val="136B3963"/>
    <w:rsid w:val="14846FE4"/>
    <w:rsid w:val="14F2158A"/>
    <w:rsid w:val="15EA786F"/>
    <w:rsid w:val="16B253F9"/>
    <w:rsid w:val="183F3B4A"/>
    <w:rsid w:val="1CAF2800"/>
    <w:rsid w:val="1D501DCC"/>
    <w:rsid w:val="1E706B73"/>
    <w:rsid w:val="1F045F3B"/>
    <w:rsid w:val="1F07720A"/>
    <w:rsid w:val="206B7FE6"/>
    <w:rsid w:val="208A250F"/>
    <w:rsid w:val="21385627"/>
    <w:rsid w:val="224D0103"/>
    <w:rsid w:val="24365E59"/>
    <w:rsid w:val="24973F19"/>
    <w:rsid w:val="259844B6"/>
    <w:rsid w:val="25D55C8E"/>
    <w:rsid w:val="26AA090E"/>
    <w:rsid w:val="27CE7CB4"/>
    <w:rsid w:val="27DA1804"/>
    <w:rsid w:val="287B4B19"/>
    <w:rsid w:val="29ED0A2E"/>
    <w:rsid w:val="2A6F452A"/>
    <w:rsid w:val="2B5224D6"/>
    <w:rsid w:val="2B97126D"/>
    <w:rsid w:val="2D085D2B"/>
    <w:rsid w:val="2DDD47A0"/>
    <w:rsid w:val="301845E5"/>
    <w:rsid w:val="30BA4E1D"/>
    <w:rsid w:val="30C84687"/>
    <w:rsid w:val="31332339"/>
    <w:rsid w:val="3261245E"/>
    <w:rsid w:val="344D535E"/>
    <w:rsid w:val="3517673A"/>
    <w:rsid w:val="36591ABC"/>
    <w:rsid w:val="36D17E90"/>
    <w:rsid w:val="36E36736"/>
    <w:rsid w:val="36F402F1"/>
    <w:rsid w:val="375B2356"/>
    <w:rsid w:val="378844AC"/>
    <w:rsid w:val="379D2DBB"/>
    <w:rsid w:val="37EF47C6"/>
    <w:rsid w:val="384F6495"/>
    <w:rsid w:val="389B56ED"/>
    <w:rsid w:val="38C9657F"/>
    <w:rsid w:val="39274625"/>
    <w:rsid w:val="3D2F423E"/>
    <w:rsid w:val="3E216314"/>
    <w:rsid w:val="3E852B09"/>
    <w:rsid w:val="3E94424B"/>
    <w:rsid w:val="3EF92580"/>
    <w:rsid w:val="3F2B4006"/>
    <w:rsid w:val="3FA15BFC"/>
    <w:rsid w:val="40313BC9"/>
    <w:rsid w:val="407F311E"/>
    <w:rsid w:val="41533E51"/>
    <w:rsid w:val="41FF76D6"/>
    <w:rsid w:val="42604E84"/>
    <w:rsid w:val="430C1E42"/>
    <w:rsid w:val="432D6550"/>
    <w:rsid w:val="43BB58E5"/>
    <w:rsid w:val="45F473B3"/>
    <w:rsid w:val="464949DA"/>
    <w:rsid w:val="46B226AF"/>
    <w:rsid w:val="46FD5C41"/>
    <w:rsid w:val="471C4752"/>
    <w:rsid w:val="472215CC"/>
    <w:rsid w:val="48CD287B"/>
    <w:rsid w:val="49311532"/>
    <w:rsid w:val="4A980280"/>
    <w:rsid w:val="4BE05D62"/>
    <w:rsid w:val="4CB25B24"/>
    <w:rsid w:val="4D202E40"/>
    <w:rsid w:val="4D9177D7"/>
    <w:rsid w:val="4E03550A"/>
    <w:rsid w:val="4E0D5076"/>
    <w:rsid w:val="4E757913"/>
    <w:rsid w:val="4FF55710"/>
    <w:rsid w:val="4FF7631A"/>
    <w:rsid w:val="50487183"/>
    <w:rsid w:val="505612AC"/>
    <w:rsid w:val="50C4240E"/>
    <w:rsid w:val="51514632"/>
    <w:rsid w:val="524528C8"/>
    <w:rsid w:val="55155C36"/>
    <w:rsid w:val="554E47A5"/>
    <w:rsid w:val="559310B8"/>
    <w:rsid w:val="57E26D0A"/>
    <w:rsid w:val="58527D3E"/>
    <w:rsid w:val="5866094B"/>
    <w:rsid w:val="59E66B71"/>
    <w:rsid w:val="5C3C2736"/>
    <w:rsid w:val="5C520005"/>
    <w:rsid w:val="5D017965"/>
    <w:rsid w:val="5E872F3E"/>
    <w:rsid w:val="5FA32663"/>
    <w:rsid w:val="5FC14BB7"/>
    <w:rsid w:val="5FF362C7"/>
    <w:rsid w:val="607A4D66"/>
    <w:rsid w:val="60C37E2F"/>
    <w:rsid w:val="61941A44"/>
    <w:rsid w:val="61CD26AF"/>
    <w:rsid w:val="63A21173"/>
    <w:rsid w:val="64C13026"/>
    <w:rsid w:val="64E76264"/>
    <w:rsid w:val="65F84618"/>
    <w:rsid w:val="66437B9F"/>
    <w:rsid w:val="67334704"/>
    <w:rsid w:val="67A75993"/>
    <w:rsid w:val="68D53315"/>
    <w:rsid w:val="6AEA25B9"/>
    <w:rsid w:val="6C080DC2"/>
    <w:rsid w:val="6CEE1648"/>
    <w:rsid w:val="6F023352"/>
    <w:rsid w:val="6F3379E6"/>
    <w:rsid w:val="6F597CAF"/>
    <w:rsid w:val="6FE179AE"/>
    <w:rsid w:val="71BC52D4"/>
    <w:rsid w:val="735A34D3"/>
    <w:rsid w:val="738379DB"/>
    <w:rsid w:val="73B1397B"/>
    <w:rsid w:val="741A3336"/>
    <w:rsid w:val="754A3219"/>
    <w:rsid w:val="76DF4909"/>
    <w:rsid w:val="76F54618"/>
    <w:rsid w:val="77662ECA"/>
    <w:rsid w:val="779745CD"/>
    <w:rsid w:val="780247CB"/>
    <w:rsid w:val="78574142"/>
    <w:rsid w:val="796A4EF4"/>
    <w:rsid w:val="7C54405B"/>
    <w:rsid w:val="7D475263"/>
    <w:rsid w:val="7D9A0A41"/>
    <w:rsid w:val="7E9E2C74"/>
    <w:rsid w:val="7FE5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300" w:lineRule="auto"/>
    </w:pPr>
    <w:rPr>
      <w:rFonts w:ascii="Calibri" w:hAnsi="Calibri" w:eastAsia="宋体" w:cs="Times New Roman"/>
      <w:sz w:val="22"/>
      <w:szCs w:val="22"/>
      <w:lang w:val="en-US" w:eastAsia="en-US" w:bidi="ar-SA"/>
    </w:rPr>
  </w:style>
  <w:style w:type="paragraph" w:styleId="3">
    <w:name w:val="heading 1"/>
    <w:basedOn w:val="1"/>
    <w:next w:val="1"/>
    <w:link w:val="26"/>
    <w:qFormat/>
    <w:uiPriority w:val="9"/>
    <w:pPr>
      <w:keepNext/>
      <w:keepLines/>
      <w:spacing w:before="480" w:after="0"/>
      <w:outlineLvl w:val="0"/>
    </w:pPr>
    <w:rPr>
      <w:rFonts w:ascii="Cambria" w:hAnsi="Cambria"/>
      <w:b/>
      <w:bCs/>
      <w:color w:val="365F91"/>
      <w:sz w:val="28"/>
      <w:szCs w:val="28"/>
    </w:rPr>
  </w:style>
  <w:style w:type="paragraph" w:styleId="4">
    <w:name w:val="heading 2"/>
    <w:basedOn w:val="1"/>
    <w:next w:val="1"/>
    <w:link w:val="27"/>
    <w:qFormat/>
    <w:uiPriority w:val="9"/>
    <w:pPr>
      <w:keepNext/>
      <w:keepLines/>
      <w:spacing w:before="200" w:after="0"/>
      <w:outlineLvl w:val="1"/>
    </w:pPr>
    <w:rPr>
      <w:rFonts w:ascii="Cambria" w:hAnsi="Cambria"/>
      <w:b/>
      <w:bCs/>
      <w:color w:val="4F81BD"/>
      <w:sz w:val="26"/>
      <w:szCs w:val="26"/>
    </w:rPr>
  </w:style>
  <w:style w:type="paragraph" w:styleId="5">
    <w:name w:val="heading 3"/>
    <w:basedOn w:val="1"/>
    <w:next w:val="1"/>
    <w:link w:val="28"/>
    <w:qFormat/>
    <w:uiPriority w:val="9"/>
    <w:pPr>
      <w:keepNext/>
      <w:keepLines/>
      <w:spacing w:before="200" w:after="0"/>
      <w:outlineLvl w:val="2"/>
    </w:pPr>
    <w:rPr>
      <w:rFonts w:ascii="Cambria" w:hAnsi="Cambria"/>
      <w:b/>
      <w:bCs/>
      <w:color w:val="4F81BD"/>
      <w:sz w:val="20"/>
      <w:szCs w:val="20"/>
    </w:rPr>
  </w:style>
  <w:style w:type="paragraph" w:styleId="6">
    <w:name w:val="heading 4"/>
    <w:basedOn w:val="1"/>
    <w:next w:val="1"/>
    <w:link w:val="29"/>
    <w:qFormat/>
    <w:uiPriority w:val="9"/>
    <w:pPr>
      <w:keepNext/>
      <w:keepLines/>
      <w:spacing w:before="200" w:after="0"/>
      <w:outlineLvl w:val="3"/>
    </w:pPr>
    <w:rPr>
      <w:rFonts w:ascii="Cambria" w:hAnsi="Cambria"/>
      <w:b/>
      <w:bCs/>
      <w:i/>
      <w:iCs/>
      <w:color w:val="4F81BD"/>
      <w:sz w:val="20"/>
      <w:szCs w:val="20"/>
    </w:rPr>
  </w:style>
  <w:style w:type="paragraph" w:styleId="7">
    <w:name w:val="heading 5"/>
    <w:basedOn w:val="1"/>
    <w:next w:val="1"/>
    <w:link w:val="30"/>
    <w:qFormat/>
    <w:uiPriority w:val="9"/>
    <w:pPr>
      <w:keepNext/>
      <w:keepLines/>
      <w:spacing w:before="200" w:after="0"/>
      <w:outlineLvl w:val="4"/>
    </w:pPr>
    <w:rPr>
      <w:rFonts w:ascii="Cambria" w:hAnsi="Cambria"/>
      <w:color w:val="244061"/>
      <w:sz w:val="20"/>
      <w:szCs w:val="20"/>
    </w:rPr>
  </w:style>
  <w:style w:type="paragraph" w:styleId="8">
    <w:name w:val="heading 6"/>
    <w:basedOn w:val="1"/>
    <w:next w:val="1"/>
    <w:link w:val="31"/>
    <w:qFormat/>
    <w:uiPriority w:val="9"/>
    <w:pPr>
      <w:keepNext/>
      <w:keepLines/>
      <w:spacing w:before="200" w:after="0"/>
      <w:outlineLvl w:val="5"/>
    </w:pPr>
    <w:rPr>
      <w:rFonts w:ascii="Cambria" w:hAnsi="Cambria"/>
      <w:i/>
      <w:iCs/>
      <w:color w:val="244061"/>
      <w:sz w:val="20"/>
      <w:szCs w:val="20"/>
    </w:rPr>
  </w:style>
  <w:style w:type="paragraph" w:styleId="9">
    <w:name w:val="heading 7"/>
    <w:basedOn w:val="1"/>
    <w:next w:val="1"/>
    <w:link w:val="32"/>
    <w:qFormat/>
    <w:uiPriority w:val="9"/>
    <w:pPr>
      <w:keepNext/>
      <w:keepLines/>
      <w:spacing w:before="200" w:after="0"/>
      <w:outlineLvl w:val="6"/>
    </w:pPr>
    <w:rPr>
      <w:rFonts w:ascii="Cambria" w:hAnsi="Cambria"/>
      <w:i/>
      <w:iCs/>
      <w:color w:val="404040"/>
      <w:sz w:val="20"/>
      <w:szCs w:val="20"/>
    </w:rPr>
  </w:style>
  <w:style w:type="paragraph" w:styleId="10">
    <w:name w:val="heading 8"/>
    <w:basedOn w:val="1"/>
    <w:next w:val="1"/>
    <w:link w:val="33"/>
    <w:qFormat/>
    <w:uiPriority w:val="9"/>
    <w:pPr>
      <w:keepNext/>
      <w:keepLines/>
      <w:spacing w:before="200" w:after="0"/>
      <w:outlineLvl w:val="7"/>
    </w:pPr>
    <w:rPr>
      <w:rFonts w:ascii="Cambria" w:hAnsi="Cambria"/>
      <w:color w:val="4F81BD"/>
      <w:sz w:val="20"/>
      <w:szCs w:val="20"/>
    </w:rPr>
  </w:style>
  <w:style w:type="paragraph" w:styleId="11">
    <w:name w:val="heading 9"/>
    <w:basedOn w:val="1"/>
    <w:next w:val="1"/>
    <w:link w:val="34"/>
    <w:qFormat/>
    <w:uiPriority w:val="9"/>
    <w:pPr>
      <w:keepNext/>
      <w:keepLines/>
      <w:spacing w:before="200" w:after="0"/>
      <w:outlineLvl w:val="8"/>
    </w:pPr>
    <w:rPr>
      <w:rFonts w:ascii="Cambria" w:hAnsi="Cambria"/>
      <w:i/>
      <w:iCs/>
      <w:color w:val="404040"/>
      <w:sz w:val="20"/>
      <w:szCs w:val="20"/>
    </w:rPr>
  </w:style>
  <w:style w:type="character" w:default="1" w:styleId="21">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238"/>
    </w:pPr>
    <w:rPr>
      <w:rFonts w:ascii="宋体" w:hAnsi="宋体" w:cs="宋体"/>
      <w:sz w:val="24"/>
      <w:szCs w:val="24"/>
      <w:lang w:val="zh-CN" w:eastAsia="zh-CN" w:bidi="zh-CN"/>
    </w:rPr>
  </w:style>
  <w:style w:type="paragraph" w:styleId="12">
    <w:name w:val="caption"/>
    <w:basedOn w:val="1"/>
    <w:next w:val="1"/>
    <w:qFormat/>
    <w:uiPriority w:val="35"/>
    <w:pPr>
      <w:spacing w:line="240" w:lineRule="auto"/>
    </w:pPr>
    <w:rPr>
      <w:b/>
      <w:bCs/>
      <w:color w:val="4F81BD"/>
      <w:sz w:val="18"/>
      <w:szCs w:val="18"/>
    </w:rPr>
  </w:style>
  <w:style w:type="paragraph" w:styleId="13">
    <w:name w:val="annotation text"/>
    <w:basedOn w:val="1"/>
    <w:link w:val="35"/>
    <w:unhideWhenUsed/>
    <w:qFormat/>
    <w:uiPriority w:val="99"/>
  </w:style>
  <w:style w:type="paragraph" w:styleId="14">
    <w:name w:val="Balloon Text"/>
    <w:basedOn w:val="1"/>
    <w:link w:val="36"/>
    <w:unhideWhenUsed/>
    <w:qFormat/>
    <w:uiPriority w:val="99"/>
    <w:pPr>
      <w:spacing w:after="0" w:line="240" w:lineRule="auto"/>
    </w:pPr>
    <w:rPr>
      <w:sz w:val="18"/>
      <w:szCs w:val="18"/>
    </w:rPr>
  </w:style>
  <w:style w:type="paragraph" w:styleId="15">
    <w:name w:val="footer"/>
    <w:basedOn w:val="1"/>
    <w:link w:val="37"/>
    <w:unhideWhenUsed/>
    <w:qFormat/>
    <w:uiPriority w:val="99"/>
    <w:pPr>
      <w:tabs>
        <w:tab w:val="center" w:pos="4153"/>
        <w:tab w:val="right" w:pos="8306"/>
      </w:tabs>
      <w:snapToGrid w:val="0"/>
    </w:pPr>
    <w:rPr>
      <w:rFonts w:ascii="宋体" w:hAnsi="宋体" w:cs="宋体"/>
      <w:sz w:val="18"/>
      <w:szCs w:val="18"/>
      <w:lang w:val="zh-CN" w:eastAsia="zh-CN" w:bidi="zh-CN"/>
    </w:rPr>
  </w:style>
  <w:style w:type="paragraph" w:styleId="16">
    <w:name w:val="header"/>
    <w:basedOn w:val="1"/>
    <w:link w:val="38"/>
    <w:unhideWhenUsed/>
    <w:qFormat/>
    <w:uiPriority w:val="99"/>
    <w:pPr>
      <w:pBdr>
        <w:bottom w:val="single" w:color="auto" w:sz="6" w:space="1"/>
      </w:pBdr>
      <w:tabs>
        <w:tab w:val="center" w:pos="4153"/>
        <w:tab w:val="right" w:pos="8306"/>
      </w:tabs>
      <w:snapToGrid w:val="0"/>
      <w:jc w:val="center"/>
    </w:pPr>
    <w:rPr>
      <w:rFonts w:ascii="宋体" w:hAnsi="宋体" w:cs="宋体"/>
      <w:sz w:val="18"/>
      <w:szCs w:val="18"/>
      <w:lang w:val="zh-CN" w:eastAsia="zh-CN" w:bidi="zh-CN"/>
    </w:rPr>
  </w:style>
  <w:style w:type="paragraph" w:styleId="17">
    <w:name w:val="Subtitle"/>
    <w:basedOn w:val="1"/>
    <w:next w:val="1"/>
    <w:link w:val="39"/>
    <w:qFormat/>
    <w:uiPriority w:val="11"/>
    <w:rPr>
      <w:rFonts w:ascii="Cambria" w:hAnsi="Cambria"/>
      <w:i/>
      <w:iCs/>
      <w:color w:val="4F81BD"/>
      <w:spacing w:val="15"/>
      <w:sz w:val="24"/>
      <w:szCs w:val="24"/>
    </w:rPr>
  </w:style>
  <w:style w:type="paragraph" w:styleId="18">
    <w:name w:val="Title"/>
    <w:basedOn w:val="1"/>
    <w:next w:val="1"/>
    <w:link w:val="25"/>
    <w:qFormat/>
    <w:uiPriority w:val="10"/>
    <w:pPr>
      <w:pBdr>
        <w:bottom w:val="single" w:color="4F81BD" w:sz="8" w:space="4"/>
      </w:pBdr>
      <w:spacing w:after="300" w:line="240" w:lineRule="auto"/>
      <w:contextualSpacing/>
    </w:pPr>
    <w:rPr>
      <w:rFonts w:ascii="Cambria" w:hAnsi="Cambria"/>
      <w:color w:val="17365D"/>
      <w:spacing w:val="5"/>
      <w:kern w:val="28"/>
      <w:sz w:val="52"/>
      <w:szCs w:val="52"/>
    </w:rPr>
  </w:style>
  <w:style w:type="paragraph" w:styleId="19">
    <w:name w:val="annotation subject"/>
    <w:basedOn w:val="13"/>
    <w:next w:val="13"/>
    <w:link w:val="40"/>
    <w:unhideWhenUsed/>
    <w:qFormat/>
    <w:uiPriority w:val="99"/>
    <w:rPr>
      <w:b/>
      <w:bCs/>
    </w:rPr>
  </w:style>
  <w:style w:type="character" w:styleId="22">
    <w:name w:val="Strong"/>
    <w:qFormat/>
    <w:uiPriority w:val="22"/>
    <w:rPr>
      <w:b/>
      <w:bCs/>
    </w:rPr>
  </w:style>
  <w:style w:type="character" w:styleId="23">
    <w:name w:val="Emphasis"/>
    <w:qFormat/>
    <w:uiPriority w:val="20"/>
    <w:rPr>
      <w:i/>
      <w:iCs/>
    </w:rPr>
  </w:style>
  <w:style w:type="character" w:styleId="24">
    <w:name w:val="annotation reference"/>
    <w:basedOn w:val="21"/>
    <w:unhideWhenUsed/>
    <w:qFormat/>
    <w:uiPriority w:val="99"/>
    <w:rPr>
      <w:sz w:val="21"/>
      <w:szCs w:val="21"/>
    </w:rPr>
  </w:style>
  <w:style w:type="character" w:customStyle="1" w:styleId="25">
    <w:name w:val="标题 字符"/>
    <w:link w:val="18"/>
    <w:qFormat/>
    <w:uiPriority w:val="10"/>
    <w:rPr>
      <w:rFonts w:ascii="Cambria" w:hAnsi="Cambria" w:eastAsia="宋体" w:cs="Times New Roman"/>
      <w:color w:val="17365D"/>
      <w:spacing w:val="5"/>
      <w:kern w:val="28"/>
      <w:sz w:val="52"/>
      <w:szCs w:val="52"/>
    </w:rPr>
  </w:style>
  <w:style w:type="character" w:customStyle="1" w:styleId="26">
    <w:name w:val="标题 1 字符"/>
    <w:link w:val="3"/>
    <w:qFormat/>
    <w:uiPriority w:val="9"/>
    <w:rPr>
      <w:rFonts w:ascii="Cambria" w:hAnsi="Cambria" w:eastAsia="宋体" w:cs="Times New Roman"/>
      <w:b/>
      <w:bCs/>
      <w:color w:val="365F91"/>
      <w:sz w:val="28"/>
      <w:szCs w:val="28"/>
    </w:rPr>
  </w:style>
  <w:style w:type="character" w:customStyle="1" w:styleId="27">
    <w:name w:val="标题 2 字符"/>
    <w:link w:val="4"/>
    <w:qFormat/>
    <w:uiPriority w:val="9"/>
    <w:rPr>
      <w:rFonts w:ascii="Cambria" w:hAnsi="Cambria" w:eastAsia="宋体" w:cs="Times New Roman"/>
      <w:b/>
      <w:bCs/>
      <w:color w:val="4F81BD"/>
      <w:sz w:val="26"/>
      <w:szCs w:val="26"/>
    </w:rPr>
  </w:style>
  <w:style w:type="character" w:customStyle="1" w:styleId="28">
    <w:name w:val="标题 3 字符"/>
    <w:link w:val="5"/>
    <w:qFormat/>
    <w:uiPriority w:val="9"/>
    <w:rPr>
      <w:rFonts w:ascii="Cambria" w:hAnsi="Cambria" w:eastAsia="宋体" w:cs="Times New Roman"/>
      <w:b/>
      <w:bCs/>
      <w:color w:val="4F81BD"/>
    </w:rPr>
  </w:style>
  <w:style w:type="character" w:customStyle="1" w:styleId="29">
    <w:name w:val="标题 4 字符"/>
    <w:link w:val="6"/>
    <w:semiHidden/>
    <w:qFormat/>
    <w:uiPriority w:val="9"/>
    <w:rPr>
      <w:rFonts w:ascii="Cambria" w:hAnsi="Cambria" w:eastAsia="宋体" w:cs="Times New Roman"/>
      <w:b/>
      <w:bCs/>
      <w:i/>
      <w:iCs/>
      <w:color w:val="4F81BD"/>
    </w:rPr>
  </w:style>
  <w:style w:type="character" w:customStyle="1" w:styleId="30">
    <w:name w:val="标题 5 字符"/>
    <w:link w:val="7"/>
    <w:semiHidden/>
    <w:qFormat/>
    <w:uiPriority w:val="9"/>
    <w:rPr>
      <w:rFonts w:ascii="Cambria" w:hAnsi="Cambria" w:eastAsia="宋体" w:cs="Times New Roman"/>
      <w:color w:val="244061"/>
    </w:rPr>
  </w:style>
  <w:style w:type="character" w:customStyle="1" w:styleId="31">
    <w:name w:val="标题 6 字符"/>
    <w:link w:val="8"/>
    <w:semiHidden/>
    <w:qFormat/>
    <w:uiPriority w:val="9"/>
    <w:rPr>
      <w:rFonts w:ascii="Cambria" w:hAnsi="Cambria" w:eastAsia="宋体" w:cs="Times New Roman"/>
      <w:i/>
      <w:iCs/>
      <w:color w:val="244061"/>
    </w:rPr>
  </w:style>
  <w:style w:type="character" w:customStyle="1" w:styleId="32">
    <w:name w:val="标题 7 字符"/>
    <w:link w:val="9"/>
    <w:semiHidden/>
    <w:qFormat/>
    <w:uiPriority w:val="9"/>
    <w:rPr>
      <w:rFonts w:ascii="Cambria" w:hAnsi="Cambria" w:eastAsia="宋体" w:cs="Times New Roman"/>
      <w:i/>
      <w:iCs/>
      <w:color w:val="404040"/>
    </w:rPr>
  </w:style>
  <w:style w:type="character" w:customStyle="1" w:styleId="33">
    <w:name w:val="标题 8 字符"/>
    <w:link w:val="10"/>
    <w:semiHidden/>
    <w:qFormat/>
    <w:uiPriority w:val="9"/>
    <w:rPr>
      <w:rFonts w:ascii="Cambria" w:hAnsi="Cambria" w:eastAsia="宋体" w:cs="Times New Roman"/>
      <w:color w:val="4F81BD"/>
      <w:sz w:val="20"/>
      <w:szCs w:val="20"/>
    </w:rPr>
  </w:style>
  <w:style w:type="character" w:customStyle="1" w:styleId="34">
    <w:name w:val="标题 9 字符"/>
    <w:link w:val="11"/>
    <w:semiHidden/>
    <w:qFormat/>
    <w:uiPriority w:val="9"/>
    <w:rPr>
      <w:rFonts w:ascii="Cambria" w:hAnsi="Cambria" w:eastAsia="宋体" w:cs="Times New Roman"/>
      <w:i/>
      <w:iCs/>
      <w:color w:val="404040"/>
      <w:sz w:val="20"/>
      <w:szCs w:val="20"/>
    </w:rPr>
  </w:style>
  <w:style w:type="character" w:customStyle="1" w:styleId="35">
    <w:name w:val="批注文字 字符"/>
    <w:basedOn w:val="21"/>
    <w:link w:val="13"/>
    <w:semiHidden/>
    <w:qFormat/>
    <w:uiPriority w:val="99"/>
    <w:rPr>
      <w:sz w:val="22"/>
      <w:szCs w:val="22"/>
      <w:lang w:eastAsia="en-US"/>
    </w:rPr>
  </w:style>
  <w:style w:type="character" w:customStyle="1" w:styleId="36">
    <w:name w:val="批注框文本 字符"/>
    <w:link w:val="14"/>
    <w:semiHidden/>
    <w:qFormat/>
    <w:uiPriority w:val="99"/>
    <w:rPr>
      <w:sz w:val="18"/>
      <w:szCs w:val="18"/>
      <w:lang w:eastAsia="en-US"/>
    </w:rPr>
  </w:style>
  <w:style w:type="character" w:customStyle="1" w:styleId="37">
    <w:name w:val="页脚 字符"/>
    <w:link w:val="15"/>
    <w:qFormat/>
    <w:uiPriority w:val="99"/>
    <w:rPr>
      <w:rFonts w:ascii="宋体" w:hAnsi="宋体" w:eastAsia="宋体" w:cs="宋体"/>
      <w:sz w:val="18"/>
      <w:szCs w:val="18"/>
      <w:lang w:val="zh-CN" w:eastAsia="zh-CN" w:bidi="zh-CN"/>
    </w:rPr>
  </w:style>
  <w:style w:type="character" w:customStyle="1" w:styleId="38">
    <w:name w:val="页眉 字符"/>
    <w:link w:val="16"/>
    <w:qFormat/>
    <w:uiPriority w:val="99"/>
    <w:rPr>
      <w:rFonts w:ascii="宋体" w:hAnsi="宋体" w:eastAsia="宋体" w:cs="宋体"/>
      <w:sz w:val="18"/>
      <w:szCs w:val="18"/>
      <w:lang w:val="zh-CN" w:eastAsia="zh-CN" w:bidi="zh-CN"/>
    </w:rPr>
  </w:style>
  <w:style w:type="character" w:customStyle="1" w:styleId="39">
    <w:name w:val="副标题 字符"/>
    <w:link w:val="17"/>
    <w:qFormat/>
    <w:uiPriority w:val="11"/>
    <w:rPr>
      <w:rFonts w:ascii="Cambria" w:hAnsi="Cambria" w:eastAsia="宋体" w:cs="Times New Roman"/>
      <w:i/>
      <w:iCs/>
      <w:color w:val="4F81BD"/>
      <w:spacing w:val="15"/>
      <w:sz w:val="24"/>
      <w:szCs w:val="24"/>
    </w:rPr>
  </w:style>
  <w:style w:type="character" w:customStyle="1" w:styleId="40">
    <w:name w:val="批注主题 字符"/>
    <w:basedOn w:val="35"/>
    <w:link w:val="19"/>
    <w:semiHidden/>
    <w:qFormat/>
    <w:uiPriority w:val="99"/>
    <w:rPr>
      <w:b/>
      <w:bCs/>
      <w:sz w:val="22"/>
      <w:szCs w:val="22"/>
      <w:lang w:eastAsia="en-US"/>
    </w:rPr>
  </w:style>
  <w:style w:type="character" w:customStyle="1" w:styleId="41">
    <w:name w:val="书籍标题1"/>
    <w:qFormat/>
    <w:uiPriority w:val="33"/>
    <w:rPr>
      <w:b/>
      <w:bCs/>
      <w:smallCaps/>
      <w:spacing w:val="5"/>
    </w:rPr>
  </w:style>
  <w:style w:type="character" w:customStyle="1" w:styleId="42">
    <w:name w:val="不明显强调1"/>
    <w:qFormat/>
    <w:uiPriority w:val="19"/>
    <w:rPr>
      <w:i/>
      <w:iCs/>
      <w:color w:val="7F7F7F"/>
    </w:rPr>
  </w:style>
  <w:style w:type="character" w:customStyle="1" w:styleId="43">
    <w:name w:val="引用 字符"/>
    <w:link w:val="44"/>
    <w:qFormat/>
    <w:uiPriority w:val="29"/>
    <w:rPr>
      <w:i/>
      <w:iCs/>
      <w:color w:val="000000"/>
    </w:rPr>
  </w:style>
  <w:style w:type="paragraph" w:styleId="44">
    <w:name w:val="Quote"/>
    <w:basedOn w:val="1"/>
    <w:next w:val="1"/>
    <w:link w:val="43"/>
    <w:qFormat/>
    <w:uiPriority w:val="29"/>
    <w:rPr>
      <w:i/>
      <w:iCs/>
      <w:color w:val="000000"/>
      <w:sz w:val="20"/>
      <w:szCs w:val="20"/>
    </w:rPr>
  </w:style>
  <w:style w:type="character" w:customStyle="1" w:styleId="45">
    <w:name w:val="明显引用 字符"/>
    <w:link w:val="46"/>
    <w:qFormat/>
    <w:uiPriority w:val="30"/>
    <w:rPr>
      <w:b/>
      <w:bCs/>
      <w:i/>
      <w:iCs/>
      <w:color w:val="4F81BD"/>
    </w:rPr>
  </w:style>
  <w:style w:type="paragraph" w:styleId="46">
    <w:name w:val="Intense Quote"/>
    <w:basedOn w:val="1"/>
    <w:next w:val="1"/>
    <w:link w:val="45"/>
    <w:qFormat/>
    <w:uiPriority w:val="30"/>
    <w:pPr>
      <w:pBdr>
        <w:bottom w:val="single" w:color="4F81BD" w:sz="4" w:space="4"/>
      </w:pBdr>
      <w:spacing w:before="200" w:after="280"/>
      <w:ind w:left="936" w:right="936"/>
    </w:pPr>
    <w:rPr>
      <w:b/>
      <w:bCs/>
      <w:i/>
      <w:iCs/>
      <w:color w:val="4F81BD"/>
      <w:sz w:val="20"/>
      <w:szCs w:val="20"/>
    </w:rPr>
  </w:style>
  <w:style w:type="character" w:customStyle="1" w:styleId="47">
    <w:name w:val="样式002 Char"/>
    <w:link w:val="48"/>
    <w:qFormat/>
    <w:uiPriority w:val="0"/>
    <w:rPr>
      <w:rFonts w:ascii="仿宋" w:hAnsi="仿宋" w:eastAsia="仿宋"/>
      <w:b/>
      <w:bCs/>
      <w:iCs/>
      <w:sz w:val="32"/>
      <w:szCs w:val="32"/>
    </w:rPr>
  </w:style>
  <w:style w:type="paragraph" w:customStyle="1" w:styleId="48">
    <w:name w:val="样式002"/>
    <w:basedOn w:val="4"/>
    <w:link w:val="47"/>
    <w:qFormat/>
    <w:uiPriority w:val="0"/>
    <w:pPr>
      <w:keepLines w:val="0"/>
      <w:spacing w:before="240" w:after="60" w:line="240" w:lineRule="auto"/>
      <w:ind w:firstLine="640" w:firstLineChars="200"/>
    </w:pPr>
    <w:rPr>
      <w:rFonts w:ascii="仿宋" w:hAnsi="仿宋" w:eastAsia="仿宋"/>
      <w:iCs/>
      <w:color w:val="auto"/>
      <w:sz w:val="32"/>
      <w:szCs w:val="32"/>
    </w:rPr>
  </w:style>
  <w:style w:type="character" w:customStyle="1" w:styleId="49">
    <w:name w:val="明显参考1"/>
    <w:qFormat/>
    <w:uiPriority w:val="32"/>
    <w:rPr>
      <w:b/>
      <w:bCs/>
      <w:smallCaps/>
      <w:color w:val="C0504D"/>
      <w:spacing w:val="5"/>
      <w:u w:val="single"/>
    </w:rPr>
  </w:style>
  <w:style w:type="character" w:customStyle="1" w:styleId="50">
    <w:name w:val="font81"/>
    <w:qFormat/>
    <w:uiPriority w:val="0"/>
    <w:rPr>
      <w:rFonts w:hint="eastAsia" w:ascii="宋体" w:hAnsi="宋体" w:eastAsia="宋体" w:cs="宋体"/>
      <w:b/>
      <w:color w:val="000000"/>
      <w:sz w:val="28"/>
      <w:szCs w:val="28"/>
      <w:u w:val="none"/>
    </w:rPr>
  </w:style>
  <w:style w:type="character" w:customStyle="1" w:styleId="51">
    <w:name w:val="无间隔 字符"/>
    <w:link w:val="52"/>
    <w:qFormat/>
    <w:uiPriority w:val="1"/>
    <w:rPr>
      <w:sz w:val="22"/>
      <w:szCs w:val="22"/>
      <w:lang w:val="en-US" w:eastAsia="en-US" w:bidi="ar-SA"/>
    </w:rPr>
  </w:style>
  <w:style w:type="paragraph" w:styleId="52">
    <w:name w:val="No Spacing"/>
    <w:link w:val="51"/>
    <w:qFormat/>
    <w:uiPriority w:val="1"/>
    <w:rPr>
      <w:rFonts w:ascii="Calibri" w:hAnsi="Calibri" w:eastAsia="宋体" w:cs="Times New Roman"/>
      <w:sz w:val="22"/>
      <w:szCs w:val="22"/>
      <w:lang w:val="en-US" w:eastAsia="en-US" w:bidi="ar-SA"/>
    </w:rPr>
  </w:style>
  <w:style w:type="character" w:customStyle="1" w:styleId="53">
    <w:name w:val="明显强调1"/>
    <w:qFormat/>
    <w:uiPriority w:val="21"/>
    <w:rPr>
      <w:b/>
      <w:bCs/>
      <w:i/>
      <w:iCs/>
      <w:color w:val="4F81BD"/>
    </w:rPr>
  </w:style>
  <w:style w:type="character" w:customStyle="1" w:styleId="54">
    <w:name w:val="font121"/>
    <w:qFormat/>
    <w:uiPriority w:val="0"/>
    <w:rPr>
      <w:rFonts w:hint="eastAsia" w:ascii="宋体" w:hAnsi="宋体" w:eastAsia="宋体" w:cs="宋体"/>
      <w:b/>
      <w:color w:val="000000"/>
      <w:sz w:val="28"/>
      <w:szCs w:val="28"/>
      <w:u w:val="single"/>
    </w:rPr>
  </w:style>
  <w:style w:type="character" w:customStyle="1" w:styleId="55">
    <w:name w:val="不明显参考1"/>
    <w:qFormat/>
    <w:uiPriority w:val="31"/>
    <w:rPr>
      <w:smallCaps/>
      <w:color w:val="C0504D"/>
      <w:u w:val="single"/>
    </w:rPr>
  </w:style>
  <w:style w:type="paragraph" w:customStyle="1" w:styleId="56">
    <w:name w:val="修订1"/>
    <w:semiHidden/>
    <w:qFormat/>
    <w:uiPriority w:val="99"/>
    <w:rPr>
      <w:rFonts w:ascii="Calibri" w:hAnsi="Calibri" w:eastAsia="宋体" w:cs="Times New Roman"/>
      <w:sz w:val="22"/>
      <w:szCs w:val="22"/>
      <w:lang w:val="en-US" w:eastAsia="en-US" w:bidi="ar-SA"/>
    </w:rPr>
  </w:style>
  <w:style w:type="paragraph" w:customStyle="1" w:styleId="57">
    <w:name w:val="_Style 56"/>
    <w:semiHidden/>
    <w:qFormat/>
    <w:uiPriority w:val="99"/>
    <w:rPr>
      <w:rFonts w:ascii="Calibri" w:hAnsi="Calibri" w:eastAsia="宋体" w:cs="Times New Roman"/>
      <w:sz w:val="22"/>
      <w:szCs w:val="22"/>
      <w:lang w:val="en-US" w:eastAsia="en-US" w:bidi="ar-SA"/>
    </w:rPr>
  </w:style>
  <w:style w:type="paragraph" w:customStyle="1" w:styleId="58">
    <w:name w:val="正文1"/>
    <w:qFormat/>
    <w:uiPriority w:val="0"/>
    <w:pPr>
      <w:jc w:val="both"/>
    </w:pPr>
    <w:rPr>
      <w:rFonts w:ascii="Times New Roman" w:hAnsi="Times New Roman" w:eastAsia="宋体" w:cs="Times New Roman"/>
      <w:kern w:val="2"/>
      <w:sz w:val="21"/>
      <w:szCs w:val="21"/>
      <w:lang w:val="en-US" w:eastAsia="zh-CN" w:bidi="ar-SA"/>
    </w:rPr>
  </w:style>
  <w:style w:type="paragraph" w:styleId="59">
    <w:name w:val="List Paragraph"/>
    <w:basedOn w:val="1"/>
    <w:qFormat/>
    <w:uiPriority w:val="34"/>
    <w:pPr>
      <w:ind w:left="720"/>
      <w:contextualSpacing/>
    </w:pPr>
  </w:style>
  <w:style w:type="paragraph" w:customStyle="1" w:styleId="60">
    <w:name w:val="TOC 标题1"/>
    <w:basedOn w:val="3"/>
    <w:next w:val="1"/>
    <w:unhideWhenUsed/>
    <w:qFormat/>
    <w:uiPriority w:val="39"/>
    <w:pPr>
      <w:outlineLvl w:val="9"/>
    </w:pPr>
  </w:style>
  <w:style w:type="paragraph" w:customStyle="1" w:styleId="61">
    <w:name w:val="Table Paragraph"/>
    <w:basedOn w:val="1"/>
    <w:qFormat/>
    <w:uiPriority w:val="1"/>
    <w:rPr>
      <w:rFonts w:ascii="宋体" w:hAnsi="宋体" w:cs="宋体"/>
      <w:lang w:val="zh-CN" w:eastAsia="zh-CN" w:bidi="zh-CN"/>
    </w:rPr>
  </w:style>
  <w:style w:type="table" w:customStyle="1" w:styleId="62">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44</Pages>
  <Words>3764</Words>
  <Characters>21457</Characters>
  <Lines>178</Lines>
  <Paragraphs>50</Paragraphs>
  <TotalTime>0</TotalTime>
  <ScaleCrop>false</ScaleCrop>
  <LinksUpToDate>false</LinksUpToDate>
  <CharactersWithSpaces>25171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2022-03-14T03:11:00Z</dcterms:created>
  <dc:creator>Administrator</dc:creator>
  <cp:lastModifiedBy>小胖</cp:lastModifiedBy>
  <cp:lastPrinted>2020-10-19T03:32:00Z</cp:lastPrinted>
  <dcterms:modified xsi:type="dcterms:W3CDTF">2022-03-30T15:10:50Z</dcterms:modified>
  <dc:title>甲方：深圳市防洪设施管理处</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2019-05-15T08:00:00Z</vt:filetime>
  </property>
  <property fmtid="{D5CDD505-2E9C-101B-9397-08002B2CF9AE}" pid="3" name="Creator">
    <vt:lpwstr>Microsoft® Office Word 2007</vt:lpwstr>
  </property>
  <property fmtid="{D5CDD505-2E9C-101B-9397-08002B2CF9AE}" pid="4" name="LastSaved">
    <vt:filetime>2019-06-26T08:00:00Z</vt:filetime>
  </property>
  <property fmtid="{D5CDD505-2E9C-101B-9397-08002B2CF9AE}" pid="5" name="KSOProductBuildVer">
    <vt:lpwstr>2052-11.1.0.11365</vt:lpwstr>
  </property>
  <property fmtid="{D5CDD505-2E9C-101B-9397-08002B2CF9AE}" pid="6" name="ICV">
    <vt:lpwstr>53C8160A5770481B834C88474087F0DE</vt:lpwstr>
  </property>
</Properties>
</file>